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D0D" w:rsidRDefault="00333D0D" w:rsidP="00333D0D">
      <w:pPr>
        <w:tabs>
          <w:tab w:val="right" w:pos="8504"/>
        </w:tabs>
      </w:pPr>
      <w:bookmarkStart w:id="0" w:name="_GoBack"/>
      <w:bookmarkEnd w:id="0"/>
      <w:r>
        <w:tab/>
        <w:t>Anhang</w:t>
      </w:r>
      <w:r w:rsidR="00FD2DE0">
        <w:t xml:space="preserve"> 1</w:t>
      </w:r>
    </w:p>
    <w:p w:rsidR="00FD2DE0" w:rsidRPr="00FD2DE0" w:rsidRDefault="00FD2DE0" w:rsidP="00333D0D">
      <w:pPr>
        <w:tabs>
          <w:tab w:val="right" w:pos="8504"/>
        </w:tabs>
        <w:rPr>
          <w:color w:val="0070C0"/>
        </w:rPr>
      </w:pPr>
      <w:r>
        <w:tab/>
      </w:r>
      <w:r w:rsidRPr="00FD2DE0">
        <w:rPr>
          <w:color w:val="0070C0"/>
        </w:rPr>
        <w:t>(Ergänzungsvorschläge Regierungsrat)</w:t>
      </w:r>
    </w:p>
    <w:p w:rsidR="00333D0D" w:rsidRDefault="00333D0D" w:rsidP="002D6B38">
      <w:pPr>
        <w:pStyle w:val="Erlasstitel"/>
        <w:spacing w:before="0" w:line="319" w:lineRule="auto"/>
      </w:pPr>
      <w:r>
        <w:t>Gesetz</w:t>
      </w:r>
      <w:r>
        <w:br/>
        <w:t>über Sofortmassnahmen zur Bewältigung der Coronavirus-Krise</w:t>
      </w:r>
    </w:p>
    <w:p w:rsidR="00333D0D" w:rsidRDefault="00333D0D" w:rsidP="00333D0D">
      <w:pPr>
        <w:pStyle w:val="Datum"/>
      </w:pPr>
      <w:r>
        <w:t>vom ….</w:t>
      </w:r>
    </w:p>
    <w:p w:rsidR="00333D0D" w:rsidRDefault="00333D0D" w:rsidP="00333D0D">
      <w:pPr>
        <w:pStyle w:val="Autor"/>
        <w:spacing w:line="319" w:lineRule="auto"/>
      </w:pPr>
      <w:r>
        <w:t>Der Kantonsrat</w:t>
      </w:r>
    </w:p>
    <w:p w:rsidR="00333D0D" w:rsidRDefault="00333D0D" w:rsidP="00333D0D">
      <w:pPr>
        <w:pStyle w:val="Aktion"/>
        <w:spacing w:line="319" w:lineRule="auto"/>
      </w:pPr>
      <w:r>
        <w:t>Beschliesst als Gesetz:</w:t>
      </w:r>
    </w:p>
    <w:p w:rsidR="00333D0D" w:rsidRDefault="00333D0D" w:rsidP="00333D0D">
      <w:pPr>
        <w:pStyle w:val="berschrift1"/>
        <w:spacing w:line="319" w:lineRule="auto"/>
      </w:pPr>
      <w:r>
        <w:t>I.</w:t>
      </w:r>
      <w:r>
        <w:tab/>
        <w:t>Allgemeine Bestimmungen</w:t>
      </w:r>
    </w:p>
    <w:p w:rsidR="00333D0D" w:rsidRDefault="00333D0D" w:rsidP="00333D0D">
      <w:pPr>
        <w:pStyle w:val="Paragraph"/>
        <w:spacing w:line="319" w:lineRule="auto"/>
      </w:pPr>
      <w:r>
        <w:t>Art. 1</w:t>
      </w:r>
    </w:p>
    <w:p w:rsidR="00333D0D" w:rsidRDefault="00333D0D" w:rsidP="00333D0D">
      <w:pPr>
        <w:pStyle w:val="Marginalie"/>
        <w:framePr w:wrap="auto"/>
        <w:spacing w:line="319" w:lineRule="auto"/>
      </w:pPr>
      <w:r>
        <w:t>Gegenstand und Zweck</w:t>
      </w:r>
    </w:p>
    <w:p w:rsidR="00333D0D" w:rsidRDefault="00333D0D" w:rsidP="00333D0D">
      <w:pPr>
        <w:spacing w:line="319" w:lineRule="auto"/>
      </w:pPr>
      <w:r>
        <w:t>Dieses Gesetz hat zum Ziel, die im Kanton Schaffhausen entstandenen wirtschaftlichen Folgen des Coronavirus abzufedern und eine nachhaltige Schädigung des Kantons Schaffhausen als Lebens- und Wirtschaftsstandort zu verhindern.</w:t>
      </w:r>
    </w:p>
    <w:p w:rsidR="00333D0D" w:rsidRDefault="00333D0D" w:rsidP="00333D0D">
      <w:pPr>
        <w:pStyle w:val="Paragraph"/>
        <w:spacing w:line="319" w:lineRule="auto"/>
      </w:pPr>
      <w:r>
        <w:t>Art. 2</w:t>
      </w:r>
    </w:p>
    <w:p w:rsidR="00333D0D" w:rsidRDefault="00333D0D" w:rsidP="00333D0D">
      <w:pPr>
        <w:pStyle w:val="Marginalie"/>
        <w:framePr w:wrap="auto"/>
        <w:spacing w:line="319" w:lineRule="auto"/>
      </w:pPr>
      <w:r>
        <w:t>Verhältnis zu den Massnahmen des Bundes</w:t>
      </w:r>
    </w:p>
    <w:p w:rsidR="00333D0D" w:rsidRDefault="00333D0D" w:rsidP="00333D0D">
      <w:pPr>
        <w:spacing w:line="319" w:lineRule="auto"/>
      </w:pPr>
      <w:r>
        <w:t xml:space="preserve">Die Unterstützungsmassnahmen nach diesem Gesetz kommen </w:t>
      </w:r>
      <w:r w:rsidR="00EA60CB" w:rsidRPr="00246A01">
        <w:rPr>
          <w:color w:val="0070C0"/>
          <w:u w:val="single"/>
        </w:rPr>
        <w:t>in der Regel</w:t>
      </w:r>
      <w:r w:rsidR="00EA60CB" w:rsidRPr="00EA60CB">
        <w:rPr>
          <w:b/>
          <w:color w:val="0070C0"/>
        </w:rPr>
        <w:t xml:space="preserve"> </w:t>
      </w:r>
      <w:r>
        <w:t>nur soweit zur Anwendung, als nicht Massnahmen des Bundes in Zusammenhang mit der Bekämpfung der wirtschaftlichen Folgen des Coronavirus zur Anwendung kommen. Sie sind auf die vom Bund beschlossenen oder in Aussicht gestellten Massnahmen abzustimmen.</w:t>
      </w:r>
    </w:p>
    <w:p w:rsidR="00333D0D" w:rsidRDefault="00333D0D" w:rsidP="00333D0D">
      <w:pPr>
        <w:pStyle w:val="Paragraph"/>
        <w:spacing w:line="319" w:lineRule="auto"/>
      </w:pPr>
      <w:r>
        <w:t>Art. 3</w:t>
      </w:r>
    </w:p>
    <w:p w:rsidR="00333D0D" w:rsidRPr="00246A01" w:rsidRDefault="00333D0D" w:rsidP="00333D0D">
      <w:pPr>
        <w:pStyle w:val="Marginalie"/>
        <w:framePr w:wrap="auto"/>
        <w:spacing w:line="319" w:lineRule="auto"/>
        <w:rPr>
          <w:color w:val="0070C0"/>
          <w:u w:val="single"/>
        </w:rPr>
      </w:pPr>
      <w:r>
        <w:t>Unterstützungsmassnahmen</w:t>
      </w:r>
      <w:r w:rsidR="00EA60CB">
        <w:t xml:space="preserve"> </w:t>
      </w:r>
      <w:r w:rsidR="00EA60CB" w:rsidRPr="00246A01">
        <w:rPr>
          <w:color w:val="0070C0"/>
          <w:u w:val="single"/>
        </w:rPr>
        <w:t>und Datenaustausch</w:t>
      </w:r>
    </w:p>
    <w:p w:rsidR="00333D0D" w:rsidRDefault="00333D0D" w:rsidP="00333D0D">
      <w:pPr>
        <w:spacing w:line="319" w:lineRule="auto"/>
      </w:pPr>
      <w:r w:rsidRPr="002D6B38">
        <w:rPr>
          <w:position w:val="5"/>
          <w:sz w:val="12"/>
          <w:szCs w:val="12"/>
        </w:rPr>
        <w:t>1</w:t>
      </w:r>
      <w:r>
        <w:t xml:space="preserve"> Dieses Gesetz sieht folgende Unterstützungsmassnahmen vor:</w:t>
      </w:r>
    </w:p>
    <w:p w:rsidR="00333D0D" w:rsidRDefault="00333D0D" w:rsidP="00333D0D">
      <w:pPr>
        <w:tabs>
          <w:tab w:val="left" w:pos="426"/>
        </w:tabs>
        <w:spacing w:line="319" w:lineRule="auto"/>
        <w:ind w:left="426" w:hanging="426"/>
      </w:pPr>
      <w:r>
        <w:t>a)</w:t>
      </w:r>
      <w:r>
        <w:tab/>
        <w:t>Bürgschaften</w:t>
      </w:r>
    </w:p>
    <w:p w:rsidR="00333D0D" w:rsidRDefault="00333D0D" w:rsidP="00333D0D">
      <w:pPr>
        <w:tabs>
          <w:tab w:val="left" w:pos="426"/>
        </w:tabs>
        <w:spacing w:line="319" w:lineRule="auto"/>
        <w:ind w:left="426" w:hanging="426"/>
      </w:pPr>
      <w:r>
        <w:t>b)</w:t>
      </w:r>
      <w:r>
        <w:tab/>
        <w:t>Härtefallentschädigungen;</w:t>
      </w:r>
    </w:p>
    <w:p w:rsidR="00333D0D" w:rsidRDefault="00333D0D" w:rsidP="00333D0D">
      <w:pPr>
        <w:tabs>
          <w:tab w:val="left" w:pos="426"/>
        </w:tabs>
        <w:spacing w:line="319" w:lineRule="auto"/>
        <w:ind w:left="426" w:hanging="426"/>
      </w:pPr>
      <w:r>
        <w:t>c)</w:t>
      </w:r>
      <w:r>
        <w:tab/>
        <w:t>Massnahmen zur Erhaltung der kulturellen Vielfalt;</w:t>
      </w:r>
    </w:p>
    <w:p w:rsidR="00333D0D" w:rsidRDefault="00333D0D" w:rsidP="00333D0D">
      <w:pPr>
        <w:tabs>
          <w:tab w:val="left" w:pos="426"/>
        </w:tabs>
        <w:spacing w:line="319" w:lineRule="auto"/>
        <w:ind w:left="426" w:hanging="426"/>
      </w:pPr>
      <w:r>
        <w:t>d)</w:t>
      </w:r>
      <w:r>
        <w:tab/>
        <w:t>Massnahmen zur Erhaltu</w:t>
      </w:r>
      <w:r w:rsidR="00EA60CB">
        <w:t>ng der Vielfalt im Sportbereich;</w:t>
      </w:r>
    </w:p>
    <w:p w:rsidR="00EA60CB" w:rsidRPr="00246A01" w:rsidRDefault="00EA60CB" w:rsidP="007406D9">
      <w:pPr>
        <w:tabs>
          <w:tab w:val="left" w:pos="426"/>
        </w:tabs>
        <w:spacing w:after="240" w:line="319" w:lineRule="auto"/>
        <w:ind w:left="425" w:hanging="425"/>
        <w:rPr>
          <w:b/>
          <w:bCs/>
          <w:color w:val="0070C0"/>
          <w:u w:val="single"/>
        </w:rPr>
      </w:pPr>
      <w:r w:rsidRPr="00246A01">
        <w:rPr>
          <w:b/>
          <w:bCs/>
          <w:color w:val="0070C0"/>
        </w:rPr>
        <w:t>e)</w:t>
      </w:r>
      <w:r w:rsidRPr="00246A01">
        <w:rPr>
          <w:b/>
          <w:bCs/>
          <w:color w:val="0070C0"/>
        </w:rPr>
        <w:tab/>
      </w:r>
      <w:r w:rsidRPr="00246A01">
        <w:rPr>
          <w:bCs/>
          <w:color w:val="0070C0"/>
          <w:u w:val="single"/>
        </w:rPr>
        <w:t>Miet- und Hypothekarzinsbeiträge</w:t>
      </w:r>
    </w:p>
    <w:p w:rsidR="00333D0D" w:rsidRDefault="00333D0D" w:rsidP="00333D0D">
      <w:pPr>
        <w:spacing w:line="319" w:lineRule="auto"/>
      </w:pPr>
      <w:r w:rsidRPr="002D6B38">
        <w:rPr>
          <w:position w:val="5"/>
          <w:sz w:val="12"/>
          <w:szCs w:val="12"/>
        </w:rPr>
        <w:t>2</w:t>
      </w:r>
      <w:r>
        <w:t xml:space="preserve"> Für die Unterstützungsmassnahmen nach diesem Gesetz werden finanzielle Mittel bis maximal zur Ausschöpfung der am 15. Juni 2020 beschlossenen finanzpolitischen Reserve Grossprojekt «Wirtschaftliche Massnahmen Corona-Krise» (Rahmenkredit) zur Verfügung gestellt.</w:t>
      </w:r>
      <w:r w:rsidR="00246A01">
        <w:t xml:space="preserve"> </w:t>
      </w:r>
      <w:r w:rsidR="00246A01" w:rsidRPr="00246A01">
        <w:rPr>
          <w:color w:val="0070C0"/>
          <w:u w:val="single"/>
        </w:rPr>
        <w:t>Der Kantonsrat kann weitere Mittel in Form finanzpolitischer Reserven zur Verfügung stellen.</w:t>
      </w:r>
    </w:p>
    <w:p w:rsidR="00246A01" w:rsidRDefault="00333D0D" w:rsidP="00333D0D">
      <w:pPr>
        <w:spacing w:line="319" w:lineRule="auto"/>
        <w:rPr>
          <w:bCs/>
          <w:color w:val="0070C0"/>
          <w:u w:val="single"/>
        </w:rPr>
      </w:pPr>
      <w:r w:rsidRPr="00246A01">
        <w:rPr>
          <w:color w:val="0070C0"/>
          <w:position w:val="5"/>
          <w:sz w:val="12"/>
          <w:szCs w:val="12"/>
        </w:rPr>
        <w:t>3</w:t>
      </w:r>
      <w:r>
        <w:t xml:space="preserve"> </w:t>
      </w:r>
      <w:r w:rsidR="00246A01" w:rsidRPr="00246A01">
        <w:rPr>
          <w:color w:val="0070C0"/>
          <w:u w:val="single"/>
        </w:rPr>
        <w:t xml:space="preserve">Die Unterstützungsmassnahmen werden auf Gesuch hin gewährt. </w:t>
      </w:r>
      <w:r w:rsidR="00246A01" w:rsidRPr="00246A01">
        <w:rPr>
          <w:bCs/>
          <w:color w:val="0070C0"/>
          <w:u w:val="single"/>
        </w:rPr>
        <w:t xml:space="preserve">Mit Einreichung des Gesuches ermächtigen die Gesuchstellenden den Regierungsrat sowie die zuständigen Departemente, die im Gesuch enthaltenen Daten mit anderen Behörden (Bund, Kanton, Gemeinden) auszutauschen und bei Dritten Auskünfte einzuholen, soweit dies für die Beurteilung </w:t>
      </w:r>
      <w:r w:rsidR="00246A01" w:rsidRPr="00246A01">
        <w:rPr>
          <w:bCs/>
          <w:color w:val="0070C0"/>
          <w:u w:val="single"/>
        </w:rPr>
        <w:lastRenderedPageBreak/>
        <w:t>des Gesuches erforderlich ist. Zu diesem Zweck entbinden sie diese Behörden und die Dritten von ihrem Amts-, Bank- und Steuergeheimnis im Zusammenhang mit der Bearbeitung dieser Daten.</w:t>
      </w:r>
    </w:p>
    <w:p w:rsidR="00333D0D" w:rsidRDefault="00246A01" w:rsidP="00333D0D">
      <w:pPr>
        <w:spacing w:line="319" w:lineRule="auto"/>
      </w:pPr>
      <w:r w:rsidRPr="00246A01">
        <w:rPr>
          <w:bCs/>
          <w:color w:val="0070C0"/>
          <w:vertAlign w:val="superscript"/>
        </w:rPr>
        <w:t>4</w:t>
      </w:r>
      <w:r w:rsidRPr="00246A01">
        <w:rPr>
          <w:bCs/>
          <w:color w:val="0070C0"/>
        </w:rPr>
        <w:t xml:space="preserve"> </w:t>
      </w:r>
      <w:r w:rsidR="00333D0D">
        <w:t>Es besteht kein Rechtsanspruch auf Leistungen nach diesem Gesetz.</w:t>
      </w:r>
    </w:p>
    <w:p w:rsidR="00333D0D" w:rsidRDefault="00333D0D" w:rsidP="00333D0D">
      <w:pPr>
        <w:pStyle w:val="berschrift1"/>
        <w:spacing w:line="319" w:lineRule="auto"/>
      </w:pPr>
      <w:r>
        <w:t>II.</w:t>
      </w:r>
      <w:r>
        <w:tab/>
        <w:t>Unterstützungsmassnahmen</w:t>
      </w:r>
    </w:p>
    <w:p w:rsidR="00333D0D" w:rsidRDefault="00333D0D" w:rsidP="00333D0D">
      <w:pPr>
        <w:pStyle w:val="Paragraph"/>
        <w:spacing w:line="319" w:lineRule="auto"/>
      </w:pPr>
      <w:r>
        <w:t>Art. 4</w:t>
      </w:r>
    </w:p>
    <w:p w:rsidR="00333D0D" w:rsidRPr="002D6B38" w:rsidRDefault="00333D0D" w:rsidP="00333D0D">
      <w:pPr>
        <w:pStyle w:val="Marginalie"/>
        <w:framePr w:wrap="auto"/>
        <w:spacing w:line="319" w:lineRule="auto"/>
        <w:rPr>
          <w:szCs w:val="16"/>
        </w:rPr>
      </w:pPr>
      <w:r w:rsidRPr="002D6B38">
        <w:rPr>
          <w:szCs w:val="16"/>
        </w:rPr>
        <w:t>Bürgschaften</w:t>
      </w:r>
    </w:p>
    <w:p w:rsidR="00333D0D" w:rsidRDefault="00333D0D" w:rsidP="00333D0D">
      <w:pPr>
        <w:spacing w:line="319" w:lineRule="auto"/>
      </w:pPr>
      <w:r w:rsidRPr="002D6B38">
        <w:rPr>
          <w:position w:val="5"/>
          <w:sz w:val="12"/>
          <w:szCs w:val="12"/>
        </w:rPr>
        <w:t>1</w:t>
      </w:r>
      <w:r>
        <w:t xml:space="preserve"> Der Regierungsrat kann gegenüber Banken im Sinne des Bundesgesetzes über die Banken und Sparkassen (SR 952.0) Bürgschaften im Sinne von Art. 496 OR gewähren, namentlich soweit diese Voraussetzung für die Gewährung von Bürgschaften oder anderen Leistungen durch den Bund sind.</w:t>
      </w:r>
    </w:p>
    <w:p w:rsidR="00333D0D" w:rsidRDefault="00333D0D" w:rsidP="00333D0D">
      <w:pPr>
        <w:spacing w:line="319" w:lineRule="auto"/>
      </w:pPr>
      <w:r w:rsidRPr="002D6B38">
        <w:rPr>
          <w:position w:val="5"/>
          <w:sz w:val="12"/>
          <w:szCs w:val="12"/>
        </w:rPr>
        <w:t>2</w:t>
      </w:r>
      <w:r>
        <w:t xml:space="preserve"> Mit den Bürgschaften werden Darlehen in der Höhe von 20'000 Franken bis maximal 500'000 Franken abgesichert.</w:t>
      </w:r>
    </w:p>
    <w:p w:rsidR="00333D0D" w:rsidRDefault="00333D0D" w:rsidP="00333D0D">
      <w:pPr>
        <w:spacing w:line="319" w:lineRule="auto"/>
      </w:pPr>
      <w:r w:rsidRPr="002D6B38">
        <w:rPr>
          <w:position w:val="5"/>
          <w:sz w:val="12"/>
          <w:szCs w:val="12"/>
        </w:rPr>
        <w:t>3</w:t>
      </w:r>
      <w:r>
        <w:t xml:space="preserve"> Die Bürgschaften werden im Umfang von höchstens 85</w:t>
      </w:r>
      <w:r w:rsidR="002D6B38">
        <w:t xml:space="preserve"> </w:t>
      </w:r>
      <w:r>
        <w:t>% der Darlehen gewährt.</w:t>
      </w:r>
    </w:p>
    <w:p w:rsidR="00333D0D" w:rsidRDefault="00333D0D" w:rsidP="00333D0D">
      <w:pPr>
        <w:pStyle w:val="Paragraph"/>
      </w:pPr>
      <w:r>
        <w:t>Art. 5</w:t>
      </w:r>
    </w:p>
    <w:p w:rsidR="00333D0D" w:rsidRDefault="00333D0D" w:rsidP="00333D0D">
      <w:pPr>
        <w:pStyle w:val="Marginalie"/>
        <w:framePr w:wrap="auto"/>
      </w:pPr>
      <w:r>
        <w:t>Verfahren für die Gewährung von Bürgschaften</w:t>
      </w:r>
    </w:p>
    <w:p w:rsidR="00333D0D" w:rsidRDefault="00333D0D" w:rsidP="00333D0D">
      <w:pPr>
        <w:spacing w:line="319" w:lineRule="auto"/>
      </w:pPr>
      <w:r>
        <w:t>Gesuche sind beim Volkswirtschaftsdepartment einzureichen. Dieses prüft die Gesuche und unterbreitet sie dem Regierungsrat zum Entscheid.</w:t>
      </w:r>
    </w:p>
    <w:p w:rsidR="00333D0D" w:rsidRDefault="00333D0D" w:rsidP="00333D0D">
      <w:pPr>
        <w:pStyle w:val="Paragraph"/>
        <w:spacing w:before="360"/>
      </w:pPr>
      <w:r>
        <w:t>Art. 6</w:t>
      </w:r>
    </w:p>
    <w:p w:rsidR="00333D0D" w:rsidRPr="002D6B38" w:rsidRDefault="00333D0D" w:rsidP="00333D0D">
      <w:pPr>
        <w:pStyle w:val="Marginalie"/>
        <w:framePr w:wrap="auto"/>
        <w:rPr>
          <w:szCs w:val="16"/>
        </w:rPr>
      </w:pPr>
      <w:r w:rsidRPr="002D6B38">
        <w:rPr>
          <w:szCs w:val="16"/>
        </w:rPr>
        <w:t>Härtefallentschädigungen</w:t>
      </w:r>
    </w:p>
    <w:p w:rsidR="00333D0D" w:rsidRDefault="00333D0D" w:rsidP="00333D0D">
      <w:pPr>
        <w:spacing w:line="319" w:lineRule="auto"/>
      </w:pPr>
      <w:r w:rsidRPr="002D6B38">
        <w:rPr>
          <w:position w:val="5"/>
          <w:sz w:val="12"/>
          <w:szCs w:val="12"/>
        </w:rPr>
        <w:t>1</w:t>
      </w:r>
      <w:r>
        <w:t xml:space="preserve"> Unternehmen, Selbständigerwerbenden oder Einrichtungen des Privatrechts kann der Regierungsrat Härtefallentschädigungen ausrichten, soweit</w:t>
      </w:r>
    </w:p>
    <w:p w:rsidR="00333D0D" w:rsidRDefault="00333D0D" w:rsidP="00333D0D">
      <w:pPr>
        <w:tabs>
          <w:tab w:val="left" w:pos="426"/>
        </w:tabs>
        <w:spacing w:line="319" w:lineRule="auto"/>
        <w:ind w:left="426" w:hanging="426"/>
      </w:pPr>
      <w:r>
        <w:t>a)</w:t>
      </w:r>
      <w:r>
        <w:tab/>
        <w:t>sie aufgrund der Natur ihrer wirtschaftlichen Tätigkeit von den Folgen von Cov</w:t>
      </w:r>
      <w:r w:rsidR="00246A01">
        <w:t xml:space="preserve">id 19 besonders betroffen </w:t>
      </w:r>
      <w:r w:rsidR="00246A01" w:rsidRPr="00246A01">
        <w:rPr>
          <w:bCs/>
          <w:color w:val="0070C0"/>
          <w:u w:val="single"/>
        </w:rPr>
        <w:t>und im Vergleich zu den anderen Unternehmen, Selbständigerwerbenden oder Einrichtungen deutlich schlechter gestellt</w:t>
      </w:r>
      <w:r w:rsidR="00246A01" w:rsidRPr="00246A01">
        <w:rPr>
          <w:color w:val="0070C0"/>
          <w:u w:val="single"/>
        </w:rPr>
        <w:t xml:space="preserve"> </w:t>
      </w:r>
      <w:r w:rsidR="00246A01" w:rsidRPr="00512682">
        <w:t>sind;</w:t>
      </w:r>
    </w:p>
    <w:p w:rsidR="00333D0D" w:rsidRDefault="00333D0D" w:rsidP="00333D0D">
      <w:pPr>
        <w:tabs>
          <w:tab w:val="left" w:pos="426"/>
        </w:tabs>
        <w:spacing w:line="319" w:lineRule="auto"/>
        <w:ind w:left="426" w:hanging="426"/>
      </w:pPr>
      <w:r>
        <w:t>b)</w:t>
      </w:r>
      <w:r>
        <w:tab/>
        <w:t>ihre Nachteile nicht oder nicht ausreichend in anderer Weise, namentlich durch Massnahmen des Bundes abgefedert werden können</w:t>
      </w:r>
      <w:r w:rsidR="00246A01">
        <w:t>.</w:t>
      </w:r>
      <w:r>
        <w:t xml:space="preserve"> </w:t>
      </w:r>
      <w:r w:rsidRPr="00246A01">
        <w:rPr>
          <w:strike/>
        </w:rPr>
        <w:t>und sie im Vergleich zu den anderen Unternehmen, Selbständigerwerbenden oder Einrichtungen deutlich schlechter gestellt werden.</w:t>
      </w:r>
    </w:p>
    <w:p w:rsidR="00333D0D" w:rsidRDefault="00333D0D" w:rsidP="00333D0D">
      <w:pPr>
        <w:spacing w:line="319" w:lineRule="auto"/>
      </w:pPr>
      <w:r w:rsidRPr="002D6B38">
        <w:rPr>
          <w:position w:val="5"/>
          <w:sz w:val="12"/>
          <w:szCs w:val="12"/>
        </w:rPr>
        <w:t>2</w:t>
      </w:r>
      <w:r>
        <w:t xml:space="preserve"> Die Härtefallentschädigung darf zusammen mit allfälligen anderen Unterstützungen nicht zu einer Besserstellung gegenüber den anderen Unternehmen, Selbständigerwerbenden oder Einrichtungen im Kanton Schaffhausen führen.</w:t>
      </w:r>
    </w:p>
    <w:p w:rsidR="00333D0D" w:rsidRDefault="00333D0D" w:rsidP="00333D0D">
      <w:pPr>
        <w:pStyle w:val="Paragraph"/>
      </w:pPr>
      <w:r>
        <w:t>Art. 7</w:t>
      </w:r>
    </w:p>
    <w:p w:rsidR="00333D0D" w:rsidRDefault="00333D0D" w:rsidP="00333D0D">
      <w:pPr>
        <w:pStyle w:val="Marginalie"/>
        <w:framePr w:wrap="auto"/>
      </w:pPr>
      <w:r>
        <w:t>Verfahren für die Gewährung von Härtefallentschädigungen</w:t>
      </w:r>
    </w:p>
    <w:p w:rsidR="00333D0D" w:rsidRDefault="00333D0D" w:rsidP="00333D0D">
      <w:pPr>
        <w:spacing w:line="319" w:lineRule="auto"/>
      </w:pPr>
      <w:r>
        <w:t>Gesuche sind beim Volkswirtschaftsdepartment einzureichen. Dieses prüft die Gesuche und unterbreitet sie dem Regierungsrat zum Entscheid.</w:t>
      </w:r>
    </w:p>
    <w:p w:rsidR="00D03883" w:rsidRDefault="00D03883" w:rsidP="00333D0D">
      <w:pPr>
        <w:spacing w:line="319" w:lineRule="auto"/>
      </w:pPr>
    </w:p>
    <w:p w:rsidR="00246A01" w:rsidRPr="00D03883" w:rsidRDefault="00D03883" w:rsidP="00D03883">
      <w:pPr>
        <w:pStyle w:val="Paragraph"/>
        <w:rPr>
          <w:color w:val="0070C0"/>
        </w:rPr>
      </w:pPr>
      <w:r>
        <w:rPr>
          <w:color w:val="0070C0"/>
        </w:rPr>
        <w:lastRenderedPageBreak/>
        <w:t>Art. 8</w:t>
      </w:r>
    </w:p>
    <w:p w:rsidR="00D03883" w:rsidRPr="00D03883" w:rsidRDefault="00D03883" w:rsidP="00D03883">
      <w:pPr>
        <w:pStyle w:val="Marginalie"/>
        <w:framePr w:w="1235" w:h="1201" w:hRule="exact" w:wrap="auto" w:x="10016" w:y="1"/>
        <w:rPr>
          <w:color w:val="0070C0"/>
        </w:rPr>
      </w:pPr>
      <w:r w:rsidRPr="00D03883">
        <w:rPr>
          <w:color w:val="0070C0"/>
        </w:rPr>
        <w:t xml:space="preserve">Miet- und Hypothekarzinsbeiträge </w:t>
      </w:r>
    </w:p>
    <w:p w:rsidR="00246A01" w:rsidRPr="00D03883" w:rsidRDefault="00246A01" w:rsidP="00D03883">
      <w:pPr>
        <w:spacing w:line="319" w:lineRule="auto"/>
        <w:rPr>
          <w:color w:val="0070C0"/>
          <w:u w:val="single"/>
        </w:rPr>
      </w:pPr>
      <w:r w:rsidRPr="00D03883">
        <w:rPr>
          <w:color w:val="0070C0"/>
          <w:vertAlign w:val="superscript"/>
        </w:rPr>
        <w:t xml:space="preserve">1 </w:t>
      </w:r>
      <w:r w:rsidRPr="00D03883">
        <w:rPr>
          <w:color w:val="0070C0"/>
          <w:u w:val="single"/>
        </w:rPr>
        <w:t>Der Regierungsrat kann Unternehmen, Selbständigerwerbenden oder Einrichtungen des Privatrechts mit Sitz im Kanton Schaffhausen, die ihren Betrieb aufgrund von Massnahmen des Bundes oder der Kantone zur Eindämmung der Covid-19-Epidemie zwischen dem 1. November 2020 und dem 30. Juni 2021 für mindestens 40 Tage schliessen müssen, Beiträge an die während dieser Schliessung im Kanton Schaffhausen anfallenden Miet-, bzw. Hypothekarkosten leisten, soweit die Voraussetzung für eine Kostenbeteiligung des Bundes gemäss Verordnung über Härtefallmassnahmen für Unternehmen im Zusammenhang mit der Covid-19-Epidemie (Covid-19-Härtefallverordnung; SR 951.262) erfüllt sind.</w:t>
      </w:r>
    </w:p>
    <w:p w:rsidR="00246A01" w:rsidRPr="00D03883" w:rsidRDefault="00246A01" w:rsidP="00D03883">
      <w:pPr>
        <w:spacing w:line="319" w:lineRule="auto"/>
        <w:rPr>
          <w:color w:val="0070C0"/>
          <w:u w:val="single"/>
        </w:rPr>
      </w:pPr>
      <w:r w:rsidRPr="00D03883">
        <w:rPr>
          <w:color w:val="0070C0"/>
          <w:vertAlign w:val="superscript"/>
        </w:rPr>
        <w:t xml:space="preserve">2 </w:t>
      </w:r>
      <w:r w:rsidRPr="00D03883">
        <w:rPr>
          <w:color w:val="0070C0"/>
          <w:u w:val="single"/>
        </w:rPr>
        <w:t xml:space="preserve">Die Beiträge sind auf einen Drittel des monatlichen Netto-Mietzinses, bzw. der ausgewiesenen Hypothekarkosten sowie auf maximal 3'000 Franken pro Monat beschränkt. </w:t>
      </w:r>
    </w:p>
    <w:p w:rsidR="00246A01" w:rsidRPr="00D03883" w:rsidRDefault="00246A01" w:rsidP="00D03883">
      <w:pPr>
        <w:spacing w:line="319" w:lineRule="auto"/>
        <w:rPr>
          <w:color w:val="0070C0"/>
          <w:u w:val="single"/>
        </w:rPr>
      </w:pPr>
      <w:r w:rsidRPr="00D03883">
        <w:rPr>
          <w:color w:val="0070C0"/>
          <w:vertAlign w:val="superscript"/>
        </w:rPr>
        <w:t xml:space="preserve">3 </w:t>
      </w:r>
      <w:r w:rsidRPr="00D03883">
        <w:rPr>
          <w:color w:val="0070C0"/>
          <w:u w:val="single"/>
        </w:rPr>
        <w:t>Die Miet- und Hypothekarzinsen dürfen bei der Ausrichtung verschiedener Unterstützungsmassnahmen insgesamt nur einmal vollständig berücksichtig</w:t>
      </w:r>
      <w:r w:rsidR="001C687D">
        <w:rPr>
          <w:color w:val="0070C0"/>
          <w:u w:val="single"/>
        </w:rPr>
        <w:t>t</w:t>
      </w:r>
      <w:r w:rsidRPr="00D03883">
        <w:rPr>
          <w:color w:val="0070C0"/>
          <w:u w:val="single"/>
        </w:rPr>
        <w:t xml:space="preserve"> werden.</w:t>
      </w:r>
    </w:p>
    <w:p w:rsidR="00246A01" w:rsidRPr="00D03883" w:rsidRDefault="00246A01" w:rsidP="00D03883">
      <w:pPr>
        <w:pStyle w:val="Paragraph"/>
        <w:rPr>
          <w:color w:val="0070C0"/>
        </w:rPr>
      </w:pPr>
      <w:r w:rsidRPr="00D03883">
        <w:rPr>
          <w:color w:val="0070C0"/>
        </w:rPr>
        <w:t>Art.</w:t>
      </w:r>
      <w:r w:rsidR="00D03883">
        <w:rPr>
          <w:color w:val="0070C0"/>
        </w:rPr>
        <w:t xml:space="preserve"> 9</w:t>
      </w:r>
    </w:p>
    <w:p w:rsidR="00246A01" w:rsidRPr="00D03883" w:rsidRDefault="00246A01" w:rsidP="00246A01">
      <w:pPr>
        <w:pStyle w:val="Marginalie"/>
        <w:framePr w:wrap="auto" w:y="1"/>
        <w:rPr>
          <w:color w:val="0070C0"/>
        </w:rPr>
      </w:pPr>
      <w:bookmarkStart w:id="1" w:name="_Hlk60936050"/>
      <w:r w:rsidRPr="00D03883">
        <w:rPr>
          <w:color w:val="0070C0"/>
        </w:rPr>
        <w:t>Verfahren für die Gewährung von Miet</w:t>
      </w:r>
      <w:r w:rsidR="00D03883" w:rsidRPr="00D03883">
        <w:rPr>
          <w:color w:val="0070C0"/>
        </w:rPr>
        <w:t>- und Hypothekar</w:t>
      </w:r>
      <w:r w:rsidRPr="00D03883">
        <w:rPr>
          <w:color w:val="0070C0"/>
        </w:rPr>
        <w:t>zinsbeiträgen</w:t>
      </w:r>
    </w:p>
    <w:bookmarkEnd w:id="1"/>
    <w:p w:rsidR="00246A01" w:rsidRPr="00D03883" w:rsidRDefault="00246A01" w:rsidP="00246A01">
      <w:pPr>
        <w:spacing w:line="319" w:lineRule="auto"/>
        <w:rPr>
          <w:bCs/>
          <w:color w:val="0070C0"/>
          <w:u w:val="single"/>
        </w:rPr>
      </w:pPr>
      <w:r w:rsidRPr="00D03883">
        <w:rPr>
          <w:bCs/>
          <w:color w:val="0070C0"/>
          <w:u w:val="single"/>
        </w:rPr>
        <w:t>Gesuche sind beim Volkswirtschaftsdepartement einzureichen. Dieses unterbreitet sie dem Regierungsrat zum Entscheid.</w:t>
      </w:r>
    </w:p>
    <w:p w:rsidR="00246A01" w:rsidRDefault="00246A01" w:rsidP="00333D0D">
      <w:pPr>
        <w:spacing w:line="319" w:lineRule="auto"/>
      </w:pPr>
    </w:p>
    <w:p w:rsidR="00333D0D" w:rsidRDefault="00333D0D" w:rsidP="00333D0D">
      <w:pPr>
        <w:pStyle w:val="Paragraph"/>
        <w:spacing w:before="360"/>
      </w:pPr>
      <w:r>
        <w:t xml:space="preserve">Art. </w:t>
      </w:r>
      <w:r w:rsidRPr="00D03883">
        <w:rPr>
          <w:strike/>
        </w:rPr>
        <w:t>8</w:t>
      </w:r>
      <w:r w:rsidR="00D03883" w:rsidRPr="00D03883">
        <w:rPr>
          <w:color w:val="0070C0"/>
        </w:rPr>
        <w:t xml:space="preserve"> </w:t>
      </w:r>
      <w:r w:rsidR="00D03883" w:rsidRPr="00D03883">
        <w:rPr>
          <w:color w:val="0070C0"/>
          <w:u w:val="single"/>
        </w:rPr>
        <w:t>10</w:t>
      </w:r>
    </w:p>
    <w:p w:rsidR="00333D0D" w:rsidRPr="002D6B38" w:rsidRDefault="00333D0D" w:rsidP="00333D0D">
      <w:pPr>
        <w:pStyle w:val="Marginalie"/>
        <w:framePr w:wrap="auto"/>
        <w:rPr>
          <w:szCs w:val="16"/>
        </w:rPr>
      </w:pPr>
      <w:r w:rsidRPr="002D6B38">
        <w:rPr>
          <w:szCs w:val="16"/>
        </w:rPr>
        <w:t>Massnahmen zur Erhaltung der kulturellen Vielfalt</w:t>
      </w:r>
    </w:p>
    <w:p w:rsidR="00333D0D" w:rsidRDefault="00333D0D" w:rsidP="00333D0D">
      <w:pPr>
        <w:spacing w:line="319" w:lineRule="auto"/>
      </w:pPr>
      <w:r w:rsidRPr="002D6B38">
        <w:rPr>
          <w:position w:val="5"/>
          <w:sz w:val="12"/>
          <w:szCs w:val="12"/>
        </w:rPr>
        <w:t>1</w:t>
      </w:r>
      <w:r>
        <w:t xml:space="preserve"> Der Regierungsrat kann Ausfallentschädigungen und Beiträge an Transformationsprojekte im Sinne von Art. 11 des Bundesgesetzes über die gesetzlichen Grundlagen für Verordnungen des Bundesrates zur Bewältigung der Covid-19-Epidemie vom 25. September 2020 (Covid-19-Gesetz) sprechen.</w:t>
      </w:r>
    </w:p>
    <w:p w:rsidR="00333D0D" w:rsidRDefault="00333D0D" w:rsidP="00333D0D">
      <w:pPr>
        <w:spacing w:line="319" w:lineRule="auto"/>
      </w:pPr>
      <w:r w:rsidRPr="002D6B38">
        <w:rPr>
          <w:position w:val="5"/>
          <w:sz w:val="12"/>
          <w:szCs w:val="12"/>
        </w:rPr>
        <w:t>2</w:t>
      </w:r>
      <w:r>
        <w:t xml:space="preserve"> Der Regierungsrat kann zusätzlich zu den Ausfallentschädigungen und Beiträgen an Transformationsprojekte im Sinne von Art. 11 des Covid-19-Gesetzes Kulturunternehmen, Kulturschaffenden und Kulturvereinen weitere Ausfallentschädigungen bis maximal zum vollständigen Ausgleich ihres finanziellen Schadens oder weitere Beiträge an Transformationsprojekte bis maximal 80 Prozent der Kosten des Projekts ausrichten, soweit</w:t>
      </w:r>
    </w:p>
    <w:p w:rsidR="00333D0D" w:rsidRDefault="00333D0D" w:rsidP="00333D0D">
      <w:pPr>
        <w:tabs>
          <w:tab w:val="left" w:pos="426"/>
        </w:tabs>
        <w:spacing w:line="319" w:lineRule="auto"/>
        <w:ind w:left="426" w:hanging="426"/>
      </w:pPr>
      <w:r>
        <w:t>a)</w:t>
      </w:r>
      <w:r>
        <w:tab/>
        <w:t>der finanzielle Schaden oder die Kosten des Transformationsprojekts nicht durch andere Massnahmen gedeckt werden können, und</w:t>
      </w:r>
    </w:p>
    <w:p w:rsidR="00333D0D" w:rsidRDefault="00333D0D" w:rsidP="00333D0D">
      <w:pPr>
        <w:tabs>
          <w:tab w:val="left" w:pos="426"/>
        </w:tabs>
        <w:spacing w:line="319" w:lineRule="auto"/>
        <w:ind w:left="426" w:hanging="426"/>
      </w:pPr>
      <w:r>
        <w:t>b)</w:t>
      </w:r>
      <w:r>
        <w:tab/>
        <w:t>der Fortbestand regelmässig durchgeführter Veranstaltungen und/oder von Kulturbetrieben anderweitig nicht sichergestellt werden kann.</w:t>
      </w:r>
    </w:p>
    <w:p w:rsidR="00333D0D" w:rsidRDefault="00333D0D" w:rsidP="00333D0D">
      <w:pPr>
        <w:spacing w:line="319" w:lineRule="auto"/>
      </w:pPr>
      <w:r w:rsidRPr="002D6B38">
        <w:rPr>
          <w:position w:val="5"/>
          <w:sz w:val="12"/>
          <w:szCs w:val="12"/>
        </w:rPr>
        <w:t>3</w:t>
      </w:r>
      <w:r>
        <w:t xml:space="preserve"> Entgangener Gewinn gilt nicht als Schaden im Sinne dieses Gesetzes.</w:t>
      </w:r>
    </w:p>
    <w:p w:rsidR="00333D0D" w:rsidRDefault="00333D0D" w:rsidP="00333D0D">
      <w:pPr>
        <w:spacing w:line="319" w:lineRule="auto"/>
      </w:pPr>
      <w:r w:rsidRPr="002D6B38">
        <w:rPr>
          <w:position w:val="5"/>
          <w:sz w:val="12"/>
          <w:szCs w:val="12"/>
        </w:rPr>
        <w:t>4</w:t>
      </w:r>
      <w:r>
        <w:t xml:space="preserve"> Die Beiträge an Transformationsprojekte betragen höchstens 150'000 Franken pro Kulturunternehmen.</w:t>
      </w:r>
    </w:p>
    <w:p w:rsidR="00333D0D" w:rsidRDefault="00333D0D" w:rsidP="00333D0D">
      <w:pPr>
        <w:pStyle w:val="Paragraph"/>
      </w:pPr>
      <w:r>
        <w:t xml:space="preserve">Art. </w:t>
      </w:r>
      <w:r w:rsidRPr="00D03883">
        <w:rPr>
          <w:strike/>
        </w:rPr>
        <w:t>9</w:t>
      </w:r>
      <w:r w:rsidR="00D03883">
        <w:t xml:space="preserve"> </w:t>
      </w:r>
      <w:r w:rsidR="00D03883" w:rsidRPr="00D03883">
        <w:rPr>
          <w:color w:val="0070C0"/>
          <w:u w:val="single"/>
        </w:rPr>
        <w:t>11</w:t>
      </w:r>
    </w:p>
    <w:p w:rsidR="00333D0D" w:rsidRDefault="00333D0D" w:rsidP="00333D0D">
      <w:pPr>
        <w:pStyle w:val="Marginalie"/>
        <w:framePr w:wrap="auto"/>
      </w:pPr>
      <w:r>
        <w:t>Verfahren für die Gewährung von Massnahmen zur Erhaltung der kulturellen Vielfalt</w:t>
      </w:r>
    </w:p>
    <w:p w:rsidR="00333D0D" w:rsidRDefault="00333D0D" w:rsidP="00333D0D">
      <w:pPr>
        <w:spacing w:line="319" w:lineRule="auto"/>
      </w:pPr>
      <w:r>
        <w:t>Gesuche sind beim Erziehungsdepartment einzureichen. Dieses prüft die Gesuche und unterbreitet sie dem Regierungsrat zum Entscheid.</w:t>
      </w:r>
    </w:p>
    <w:p w:rsidR="00333D0D" w:rsidRDefault="00333D0D" w:rsidP="002D6B38">
      <w:pPr>
        <w:pStyle w:val="Paragraph"/>
        <w:spacing w:before="480"/>
      </w:pPr>
      <w:r>
        <w:lastRenderedPageBreak/>
        <w:t xml:space="preserve">Art. </w:t>
      </w:r>
      <w:r w:rsidRPr="00D03883">
        <w:rPr>
          <w:strike/>
        </w:rPr>
        <w:t>10</w:t>
      </w:r>
      <w:r w:rsidR="00D03883">
        <w:t xml:space="preserve"> </w:t>
      </w:r>
      <w:r w:rsidR="00D03883" w:rsidRPr="00D03883">
        <w:rPr>
          <w:color w:val="0070C0"/>
          <w:u w:val="single"/>
        </w:rPr>
        <w:t>12</w:t>
      </w:r>
    </w:p>
    <w:p w:rsidR="00333D0D" w:rsidRDefault="00333D0D" w:rsidP="00333D0D">
      <w:pPr>
        <w:pStyle w:val="Marginalie"/>
        <w:framePr w:wrap="auto"/>
      </w:pPr>
      <w:r>
        <w:t>Massnahmen zur Erhaltung der Vielfalt im Sportbereich</w:t>
      </w:r>
    </w:p>
    <w:p w:rsidR="00333D0D" w:rsidRDefault="00333D0D" w:rsidP="00333D0D">
      <w:pPr>
        <w:spacing w:line="319" w:lineRule="auto"/>
      </w:pPr>
      <w:r w:rsidRPr="002D6B38">
        <w:rPr>
          <w:position w:val="5"/>
          <w:sz w:val="12"/>
          <w:szCs w:val="12"/>
        </w:rPr>
        <w:t>1</w:t>
      </w:r>
      <w:r>
        <w:t xml:space="preserve"> Der Regierungsrat kann nicht rückzahlbare Beiträge im Sinne von Art. 12 b des Covid-19-Gesetzes sprechen.</w:t>
      </w:r>
    </w:p>
    <w:p w:rsidR="00333D0D" w:rsidRDefault="00333D0D" w:rsidP="00333D0D">
      <w:pPr>
        <w:spacing w:line="319" w:lineRule="auto"/>
      </w:pPr>
      <w:r w:rsidRPr="002D6B38">
        <w:rPr>
          <w:position w:val="5"/>
          <w:sz w:val="12"/>
          <w:szCs w:val="12"/>
        </w:rPr>
        <w:t>2</w:t>
      </w:r>
      <w:r>
        <w:t xml:space="preserve"> Der Regierungsrat kann zusätzlich zu den nicht rückzahlbaren Beiträgen im Sinne von Art. 12 b des Covid-19-Gesetzes Organisationen im Sinne von Art. 4 der COVID-19-Verordnung Sport vom 20. März 2020 (Stand 1. Juni 2020) unterstützen, soweit diese begründet darzulegen vermögen, dass</w:t>
      </w:r>
    </w:p>
    <w:p w:rsidR="00333D0D" w:rsidRDefault="00333D0D" w:rsidP="00333D0D">
      <w:pPr>
        <w:tabs>
          <w:tab w:val="left" w:pos="426"/>
        </w:tabs>
        <w:spacing w:line="319" w:lineRule="auto"/>
        <w:ind w:left="426" w:hanging="426"/>
      </w:pPr>
      <w:r>
        <w:t>a)</w:t>
      </w:r>
      <w:r>
        <w:tab/>
        <w:t>der Fortbestand regelmässig durchgeführter Anlässe im Sportbereich wie namentlich Wettkämpfe anderweitig nicht sichergestellt werden kann, und</w:t>
      </w:r>
    </w:p>
    <w:p w:rsidR="00333D0D" w:rsidRDefault="00333D0D" w:rsidP="00333D0D">
      <w:pPr>
        <w:tabs>
          <w:tab w:val="left" w:pos="426"/>
        </w:tabs>
        <w:spacing w:line="319" w:lineRule="auto"/>
        <w:ind w:left="426" w:hanging="426"/>
      </w:pPr>
      <w:r>
        <w:t>b)</w:t>
      </w:r>
      <w:r>
        <w:tab/>
        <w:t>die erforderlichen Finanzmittel nicht durch andere Massnahmen gedeckt werden können.</w:t>
      </w:r>
    </w:p>
    <w:p w:rsidR="00333D0D" w:rsidRDefault="00333D0D" w:rsidP="00333D0D">
      <w:pPr>
        <w:pStyle w:val="Paragraph"/>
      </w:pPr>
      <w:r>
        <w:t xml:space="preserve">Art. </w:t>
      </w:r>
      <w:r w:rsidRPr="00D03883">
        <w:rPr>
          <w:strike/>
        </w:rPr>
        <w:t>11</w:t>
      </w:r>
      <w:r w:rsidR="00D03883">
        <w:t xml:space="preserve"> </w:t>
      </w:r>
      <w:r w:rsidR="00D03883" w:rsidRPr="00D03883">
        <w:rPr>
          <w:color w:val="0070C0"/>
          <w:u w:val="single"/>
        </w:rPr>
        <w:t>13</w:t>
      </w:r>
    </w:p>
    <w:p w:rsidR="00333D0D" w:rsidRDefault="00333D0D" w:rsidP="00333D0D">
      <w:pPr>
        <w:pStyle w:val="Marginalie"/>
        <w:framePr w:wrap="auto"/>
      </w:pPr>
      <w:r>
        <w:t>Verfahren für die Gewährung von Massnahmen zur Erhaltung der Vielfalt im Sportbereich</w:t>
      </w:r>
    </w:p>
    <w:p w:rsidR="00333D0D" w:rsidRDefault="00333D0D" w:rsidP="00333D0D">
      <w:pPr>
        <w:spacing w:line="319" w:lineRule="auto"/>
      </w:pPr>
      <w:r>
        <w:t>Gesuche sind beim Erziehungsdepartment einzureichen. Dieses prüft die Gesuche und unterbreitet sie dem Regierungsrat zum Entscheid.</w:t>
      </w:r>
    </w:p>
    <w:p w:rsidR="00D03883" w:rsidRPr="00512682" w:rsidRDefault="00D03883" w:rsidP="00512682">
      <w:pPr>
        <w:pStyle w:val="berschrift1"/>
        <w:rPr>
          <w:color w:val="0070C0"/>
        </w:rPr>
      </w:pPr>
      <w:r w:rsidRPr="00512682">
        <w:rPr>
          <w:color w:val="0070C0"/>
        </w:rPr>
        <w:t>III.</w:t>
      </w:r>
      <w:r w:rsidRPr="00512682">
        <w:rPr>
          <w:color w:val="0070C0"/>
        </w:rPr>
        <w:tab/>
        <w:t>Rechtsschutz</w:t>
      </w:r>
    </w:p>
    <w:p w:rsidR="00D03883" w:rsidRPr="00512682" w:rsidRDefault="00D03883" w:rsidP="00512682">
      <w:pPr>
        <w:pStyle w:val="Paragraph"/>
        <w:rPr>
          <w:color w:val="0070C0"/>
        </w:rPr>
      </w:pPr>
      <w:r w:rsidRPr="00512682">
        <w:rPr>
          <w:color w:val="0070C0"/>
        </w:rPr>
        <w:t>Art. 14</w:t>
      </w:r>
    </w:p>
    <w:p w:rsidR="00D03883" w:rsidRPr="00512682" w:rsidRDefault="00512682" w:rsidP="00D03883">
      <w:pPr>
        <w:pStyle w:val="Marginalie"/>
        <w:framePr w:wrap="auto" w:y="1"/>
        <w:rPr>
          <w:bCs/>
          <w:color w:val="0070C0"/>
        </w:rPr>
      </w:pPr>
      <w:r>
        <w:rPr>
          <w:bCs/>
          <w:color w:val="0070C0"/>
        </w:rPr>
        <w:t>Entscheid des Regierungsrates und</w:t>
      </w:r>
      <w:r w:rsidR="00D03883" w:rsidRPr="00512682">
        <w:rPr>
          <w:bCs/>
          <w:color w:val="0070C0"/>
        </w:rPr>
        <w:t xml:space="preserve"> Rechtsweg</w:t>
      </w:r>
    </w:p>
    <w:p w:rsidR="00512682" w:rsidRPr="00512682" w:rsidRDefault="00D03883" w:rsidP="00512682">
      <w:pPr>
        <w:spacing w:line="319" w:lineRule="auto"/>
        <w:rPr>
          <w:bCs/>
          <w:color w:val="0070C0"/>
        </w:rPr>
      </w:pPr>
      <w:r w:rsidRPr="00512682">
        <w:rPr>
          <w:bCs/>
          <w:color w:val="0070C0"/>
          <w:vertAlign w:val="superscript"/>
        </w:rPr>
        <w:t>1</w:t>
      </w:r>
      <w:r w:rsidRPr="00512682">
        <w:rPr>
          <w:bCs/>
          <w:color w:val="0070C0"/>
        </w:rPr>
        <w:t xml:space="preserve"> </w:t>
      </w:r>
      <w:r w:rsidRPr="00512682">
        <w:rPr>
          <w:bCs/>
          <w:color w:val="0070C0"/>
          <w:u w:val="single"/>
        </w:rPr>
        <w:t>Der Regierungsrat entscheidet in der Regel innerhalb von 14 Tagen nach Unterbreitung der vollständigen Gesuch</w:t>
      </w:r>
      <w:r w:rsidR="00512682" w:rsidRPr="00512682">
        <w:rPr>
          <w:bCs/>
          <w:color w:val="0070C0"/>
          <w:u w:val="single"/>
        </w:rPr>
        <w:t>e</w:t>
      </w:r>
      <w:r w:rsidRPr="00512682">
        <w:rPr>
          <w:bCs/>
          <w:color w:val="0070C0"/>
          <w:u w:val="single"/>
        </w:rPr>
        <w:t>. Im Falle einer teilweisen oder vollständigen Abweisung begründet er seinen Entscheid summarisch.</w:t>
      </w:r>
      <w:r w:rsidR="00512682" w:rsidRPr="00512682">
        <w:rPr>
          <w:bCs/>
          <w:color w:val="0070C0"/>
        </w:rPr>
        <w:t xml:space="preserve"> </w:t>
      </w:r>
    </w:p>
    <w:p w:rsidR="00D03883" w:rsidRPr="00512682" w:rsidRDefault="00D03883" w:rsidP="00D03883">
      <w:pPr>
        <w:spacing w:line="319" w:lineRule="auto"/>
        <w:rPr>
          <w:bCs/>
          <w:color w:val="0070C0"/>
        </w:rPr>
      </w:pPr>
      <w:r w:rsidRPr="00512682">
        <w:rPr>
          <w:bCs/>
          <w:color w:val="0070C0"/>
          <w:vertAlign w:val="superscript"/>
        </w:rPr>
        <w:t>2</w:t>
      </w:r>
      <w:r w:rsidRPr="00512682">
        <w:rPr>
          <w:bCs/>
          <w:color w:val="0070C0"/>
        </w:rPr>
        <w:t xml:space="preserve"> </w:t>
      </w:r>
      <w:r w:rsidRPr="00512682">
        <w:rPr>
          <w:bCs/>
          <w:color w:val="0070C0"/>
          <w:u w:val="single"/>
        </w:rPr>
        <w:t>Gegen Entscheide des Regierungsrates ist die Verwaltungsgerichtsbeschwerde an das Obergericht zulässig. Das Verfahren richtet sich mit folgenden Einschränkungen nach Art. 35 ff. des Gesetzes über den Rechtsschutz in Verwaltungssachen:</w:t>
      </w:r>
      <w:r w:rsidRPr="00512682">
        <w:rPr>
          <w:bCs/>
          <w:color w:val="0070C0"/>
        </w:rPr>
        <w:t xml:space="preserve"> </w:t>
      </w:r>
    </w:p>
    <w:p w:rsidR="00D03883" w:rsidRPr="00512682" w:rsidRDefault="00D03883" w:rsidP="00512682">
      <w:pPr>
        <w:pStyle w:val="Listenabsatz"/>
        <w:numPr>
          <w:ilvl w:val="0"/>
          <w:numId w:val="41"/>
        </w:numPr>
        <w:spacing w:line="319" w:lineRule="auto"/>
        <w:ind w:left="284" w:hanging="284"/>
        <w:rPr>
          <w:bCs/>
          <w:color w:val="0070C0"/>
          <w:u w:val="single"/>
        </w:rPr>
      </w:pPr>
      <w:r w:rsidRPr="00512682">
        <w:rPr>
          <w:bCs/>
          <w:color w:val="0070C0"/>
          <w:u w:val="single"/>
        </w:rPr>
        <w:t>Mit der Beschwerde können nur</w:t>
      </w:r>
      <w:r w:rsidR="00512682" w:rsidRPr="00512682">
        <w:rPr>
          <w:bCs/>
          <w:color w:val="0070C0"/>
          <w:u w:val="single"/>
        </w:rPr>
        <w:t xml:space="preserve"> </w:t>
      </w:r>
      <w:r w:rsidRPr="00512682">
        <w:rPr>
          <w:bCs/>
          <w:color w:val="0070C0"/>
          <w:u w:val="single"/>
        </w:rPr>
        <w:t>die Verletzung eines wesentlichen Verfahrensgrundsatzes, aktenwidrige oder willkürliche tatsächliche Annahmen oder Feststellungen und eine Verletzung klaren materiellen Rechts geltend gemacht werden.</w:t>
      </w:r>
    </w:p>
    <w:p w:rsidR="00D03883" w:rsidRPr="00512682" w:rsidRDefault="00D03883" w:rsidP="00D03883">
      <w:pPr>
        <w:pStyle w:val="Listenabsatz"/>
        <w:numPr>
          <w:ilvl w:val="0"/>
          <w:numId w:val="41"/>
        </w:numPr>
        <w:spacing w:line="319" w:lineRule="auto"/>
        <w:ind w:left="284" w:hanging="284"/>
        <w:rPr>
          <w:bCs/>
          <w:color w:val="0070C0"/>
          <w:u w:val="single"/>
        </w:rPr>
      </w:pPr>
      <w:r w:rsidRPr="00512682">
        <w:rPr>
          <w:bCs/>
          <w:color w:val="0070C0"/>
          <w:u w:val="single"/>
        </w:rPr>
        <w:t>Im Falle der Gutheissung der Beschwerde kann der angefochtene Entscheid nur aufgehoben und an den Regierungsrat zurückgewiesen werden.</w:t>
      </w:r>
    </w:p>
    <w:p w:rsidR="00D03883" w:rsidRPr="00512682" w:rsidRDefault="00D03883" w:rsidP="00D03883">
      <w:pPr>
        <w:pStyle w:val="Listenabsatz"/>
        <w:numPr>
          <w:ilvl w:val="0"/>
          <w:numId w:val="41"/>
        </w:numPr>
        <w:spacing w:line="319" w:lineRule="auto"/>
        <w:ind w:left="284" w:hanging="284"/>
        <w:rPr>
          <w:bCs/>
          <w:color w:val="0070C0"/>
          <w:u w:val="single"/>
        </w:rPr>
      </w:pPr>
      <w:r w:rsidRPr="00512682">
        <w:rPr>
          <w:bCs/>
          <w:color w:val="0070C0"/>
          <w:u w:val="single"/>
        </w:rPr>
        <w:t>Fristverlängerungen und ein zweiter Schriftenwechsel können nur ausnahmsweise und aus triftigen Gründen gewährt bzw. angeordnet werden.</w:t>
      </w:r>
    </w:p>
    <w:p w:rsidR="00D03883" w:rsidRPr="00512682" w:rsidRDefault="00D03883" w:rsidP="00D03883">
      <w:pPr>
        <w:spacing w:line="319" w:lineRule="auto"/>
        <w:rPr>
          <w:bCs/>
          <w:color w:val="0070C0"/>
        </w:rPr>
      </w:pPr>
      <w:r w:rsidRPr="00512682">
        <w:rPr>
          <w:bCs/>
          <w:color w:val="0070C0"/>
          <w:vertAlign w:val="superscript"/>
        </w:rPr>
        <w:t>3</w:t>
      </w:r>
      <w:r w:rsidRPr="00512682">
        <w:rPr>
          <w:bCs/>
          <w:color w:val="0070C0"/>
        </w:rPr>
        <w:t xml:space="preserve"> </w:t>
      </w:r>
      <w:r w:rsidRPr="00512682">
        <w:rPr>
          <w:bCs/>
          <w:color w:val="0070C0"/>
          <w:u w:val="single"/>
        </w:rPr>
        <w:t>Die Verfahren sind vom Obergericht ohne Kostenvorschuss und beförderlich zu behandeln.</w:t>
      </w:r>
      <w:r w:rsidRPr="00512682">
        <w:rPr>
          <w:bCs/>
          <w:color w:val="0070C0"/>
        </w:rPr>
        <w:t xml:space="preserve"> </w:t>
      </w:r>
    </w:p>
    <w:p w:rsidR="00333D0D" w:rsidRDefault="00333D0D" w:rsidP="00333D0D">
      <w:pPr>
        <w:pStyle w:val="berschrift1"/>
      </w:pPr>
      <w:r w:rsidRPr="00512682">
        <w:rPr>
          <w:strike/>
        </w:rPr>
        <w:t>III</w:t>
      </w:r>
      <w:r>
        <w:t>.</w:t>
      </w:r>
      <w:r w:rsidR="00512682">
        <w:t xml:space="preserve"> </w:t>
      </w:r>
      <w:r w:rsidR="00512682" w:rsidRPr="00512682">
        <w:rPr>
          <w:color w:val="0070C0"/>
          <w:u w:val="single"/>
        </w:rPr>
        <w:t>IV</w:t>
      </w:r>
      <w:r>
        <w:tab/>
        <w:t>Schlussbestimmungen</w:t>
      </w:r>
    </w:p>
    <w:p w:rsidR="00333D0D" w:rsidRDefault="00333D0D" w:rsidP="00333D0D">
      <w:pPr>
        <w:pStyle w:val="Paragraph"/>
      </w:pPr>
      <w:r>
        <w:t xml:space="preserve">Art. </w:t>
      </w:r>
      <w:r w:rsidRPr="00512682">
        <w:rPr>
          <w:strike/>
        </w:rPr>
        <w:t>12</w:t>
      </w:r>
      <w:r w:rsidR="00512682">
        <w:t xml:space="preserve"> </w:t>
      </w:r>
      <w:r w:rsidR="00512682" w:rsidRPr="00512682">
        <w:rPr>
          <w:color w:val="0070C0"/>
          <w:u w:val="single"/>
        </w:rPr>
        <w:t>15</w:t>
      </w:r>
    </w:p>
    <w:p w:rsidR="00333D0D" w:rsidRDefault="00333D0D" w:rsidP="00333D0D">
      <w:pPr>
        <w:pStyle w:val="Marginalie"/>
        <w:framePr w:wrap="auto"/>
      </w:pPr>
      <w:r>
        <w:t>Geltungs</w:t>
      </w:r>
      <w:r w:rsidR="002D6B38">
        <w:t>-</w:t>
      </w:r>
      <w:r>
        <w:t>dauer</w:t>
      </w:r>
    </w:p>
    <w:p w:rsidR="00333D0D" w:rsidRDefault="00333D0D" w:rsidP="00333D0D">
      <w:pPr>
        <w:spacing w:line="319" w:lineRule="auto"/>
      </w:pPr>
      <w:r>
        <w:t>Dieses Gesetz gilt bis 31. Dezember 2022.</w:t>
      </w:r>
    </w:p>
    <w:p w:rsidR="002D6B38" w:rsidRDefault="002D6B38" w:rsidP="002D6B38">
      <w:pPr>
        <w:pStyle w:val="Paragraph"/>
      </w:pPr>
      <w:r>
        <w:t xml:space="preserve">Art. </w:t>
      </w:r>
      <w:r w:rsidRPr="00512682">
        <w:rPr>
          <w:strike/>
        </w:rPr>
        <w:t>13</w:t>
      </w:r>
      <w:r w:rsidR="00512682">
        <w:t xml:space="preserve"> </w:t>
      </w:r>
      <w:r w:rsidR="00512682" w:rsidRPr="00512682">
        <w:rPr>
          <w:color w:val="0070C0"/>
          <w:u w:val="single"/>
        </w:rPr>
        <w:t>16</w:t>
      </w:r>
    </w:p>
    <w:p w:rsidR="00333D0D" w:rsidRDefault="00333D0D" w:rsidP="002D6B38">
      <w:pPr>
        <w:pStyle w:val="Marginalie"/>
        <w:framePr w:wrap="auto"/>
      </w:pPr>
      <w:r>
        <w:t xml:space="preserve">Inkrafttreten </w:t>
      </w:r>
    </w:p>
    <w:p w:rsidR="00333D0D" w:rsidRDefault="00333D0D" w:rsidP="00333D0D">
      <w:pPr>
        <w:spacing w:line="319" w:lineRule="auto"/>
      </w:pPr>
      <w:r w:rsidRPr="002D6B38">
        <w:rPr>
          <w:position w:val="5"/>
          <w:sz w:val="12"/>
          <w:szCs w:val="12"/>
        </w:rPr>
        <w:t>1</w:t>
      </w:r>
      <w:r w:rsidR="002D6B38">
        <w:t xml:space="preserve"> </w:t>
      </w:r>
      <w:r>
        <w:t>Dieses Gesetz untersteht dem Referendum.</w:t>
      </w:r>
    </w:p>
    <w:p w:rsidR="00333D0D" w:rsidRDefault="00333D0D" w:rsidP="00333D0D">
      <w:pPr>
        <w:spacing w:line="319" w:lineRule="auto"/>
      </w:pPr>
      <w:r w:rsidRPr="002D6B38">
        <w:rPr>
          <w:position w:val="5"/>
          <w:sz w:val="12"/>
          <w:szCs w:val="12"/>
        </w:rPr>
        <w:t>2</w:t>
      </w:r>
      <w:r w:rsidR="002D6B38">
        <w:t xml:space="preserve"> </w:t>
      </w:r>
      <w:r>
        <w:t xml:space="preserve">Dieses Gesetz tritt </w:t>
      </w:r>
      <w:r w:rsidR="00350186">
        <w:t>am</w:t>
      </w:r>
      <w:r>
        <w:t xml:space="preserve"> 25. März 2021 in Kraft.</w:t>
      </w:r>
    </w:p>
    <w:p w:rsidR="00333D0D" w:rsidRDefault="00333D0D" w:rsidP="00333D0D">
      <w:pPr>
        <w:spacing w:line="319" w:lineRule="auto"/>
      </w:pPr>
      <w:r w:rsidRPr="002D6B38">
        <w:rPr>
          <w:position w:val="5"/>
          <w:sz w:val="12"/>
          <w:szCs w:val="12"/>
        </w:rPr>
        <w:lastRenderedPageBreak/>
        <w:t>3</w:t>
      </w:r>
      <w:r w:rsidR="002D6B38">
        <w:t xml:space="preserve"> </w:t>
      </w:r>
      <w:r>
        <w:t xml:space="preserve">Das Gesetz ist im Amtsblatt zu veröffentlichen und in die kantonale Gesetzessammlung aufzunehmen. </w:t>
      </w:r>
    </w:p>
    <w:p w:rsidR="00333D0D" w:rsidRDefault="00333D0D" w:rsidP="00333D0D">
      <w:pPr>
        <w:spacing w:line="319" w:lineRule="auto"/>
      </w:pPr>
    </w:p>
    <w:p w:rsidR="002D6B38" w:rsidRDefault="002D6B38" w:rsidP="00333D0D">
      <w:pPr>
        <w:spacing w:line="319" w:lineRule="auto"/>
      </w:pPr>
    </w:p>
    <w:p w:rsidR="00333D0D" w:rsidRDefault="00333D0D" w:rsidP="002D6B38">
      <w:pPr>
        <w:tabs>
          <w:tab w:val="left" w:pos="4536"/>
        </w:tabs>
        <w:spacing w:line="319" w:lineRule="auto"/>
      </w:pPr>
      <w:r>
        <w:t>Schaffhausen, …</w:t>
      </w:r>
      <w:r>
        <w:tab/>
        <w:t>Im Namen des Kantonsrates</w:t>
      </w:r>
    </w:p>
    <w:p w:rsidR="00333D0D" w:rsidRDefault="002D6B38" w:rsidP="002D6B38">
      <w:pPr>
        <w:tabs>
          <w:tab w:val="left" w:pos="4536"/>
        </w:tabs>
        <w:spacing w:line="319" w:lineRule="auto"/>
      </w:pPr>
      <w:r>
        <w:tab/>
      </w:r>
      <w:r w:rsidR="00333D0D">
        <w:t>Der Präsident:</w:t>
      </w:r>
    </w:p>
    <w:p w:rsidR="00333D0D" w:rsidRDefault="002D6B38" w:rsidP="002D6B38">
      <w:pPr>
        <w:tabs>
          <w:tab w:val="left" w:pos="4536"/>
        </w:tabs>
        <w:spacing w:line="319" w:lineRule="auto"/>
      </w:pPr>
      <w:r>
        <w:tab/>
      </w:r>
    </w:p>
    <w:p w:rsidR="00F256E8" w:rsidRPr="005F5EE7" w:rsidRDefault="002D6B38" w:rsidP="002D6B38">
      <w:pPr>
        <w:tabs>
          <w:tab w:val="left" w:pos="4536"/>
        </w:tabs>
        <w:spacing w:line="319" w:lineRule="auto"/>
      </w:pPr>
      <w:r>
        <w:tab/>
      </w:r>
      <w:r w:rsidR="00333D0D">
        <w:t>Die Sekretärin:</w:t>
      </w:r>
    </w:p>
    <w:sectPr w:rsidR="00F256E8" w:rsidRPr="005F5EE7" w:rsidSect="002D6B38">
      <w:footerReference w:type="even" r:id="rId7"/>
      <w:footerReference w:type="default" r:id="rId8"/>
      <w:footnotePr>
        <w:numRestart w:val="eachPage"/>
      </w:footnotePr>
      <w:pgSz w:w="11907" w:h="16840" w:code="9"/>
      <w:pgMar w:top="1134" w:right="1985" w:bottom="851" w:left="1418" w:header="765"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A4" w:rsidRDefault="00DD3DA4">
      <w:r>
        <w:separator/>
      </w:r>
    </w:p>
  </w:endnote>
  <w:endnote w:type="continuationSeparator" w:id="0">
    <w:p w:rsidR="00DD3DA4" w:rsidRDefault="00DD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dsor Lt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77" w:rsidRDefault="00F36E77" w:rsidP="003D0A27">
    <w:pPr>
      <w:framePr w:wrap="around" w:vAnchor="text" w:hAnchor="margin" w:xAlign="outside" w:y="1"/>
    </w:pPr>
    <w:r>
      <w:fldChar w:fldCharType="begin"/>
    </w:r>
    <w:r>
      <w:instrText xml:space="preserve">PAGE  </w:instrText>
    </w:r>
    <w:r>
      <w:fldChar w:fldCharType="end"/>
    </w:r>
  </w:p>
  <w:p w:rsidR="00F36E77" w:rsidRDefault="00F36E77" w:rsidP="00A03088">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77" w:rsidRDefault="00F36E77" w:rsidP="00F36E77">
    <w:pPr>
      <w:ind w:right="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A4" w:rsidRDefault="00DD3DA4">
      <w:r>
        <w:separator/>
      </w:r>
    </w:p>
  </w:footnote>
  <w:footnote w:type="continuationSeparator" w:id="0">
    <w:p w:rsidR="00DD3DA4" w:rsidRDefault="00DD3DA4">
      <w:pPr>
        <w:rPr>
          <w:vanish/>
        </w:rPr>
      </w:pPr>
      <w:r>
        <w:rPr>
          <w:vanish/>
        </w:rPr>
        <w:continuationSeparator/>
      </w:r>
    </w:p>
  </w:footnote>
  <w:footnote w:type="continuationNotice" w:id="1">
    <w:p w:rsidR="00DD3DA4" w:rsidRDefault="00DD3DA4">
      <w:pPr>
        <w:rPr>
          <w:vanish/>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23316"/>
    <w:multiLevelType w:val="hybridMultilevel"/>
    <w:tmpl w:val="5FB66332"/>
    <w:lvl w:ilvl="0" w:tplc="835CF7A8">
      <w:start w:val="1"/>
      <w:numFmt w:val="lowerLetter"/>
      <w:pStyle w:val="NummerierungAlph"/>
      <w:lvlText w:val="%1)"/>
      <w:lvlJc w:val="left"/>
      <w:pPr>
        <w:tabs>
          <w:tab w:val="num" w:pos="360"/>
        </w:tabs>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44362080"/>
    <w:multiLevelType w:val="hybridMultilevel"/>
    <w:tmpl w:val="7A86F47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B7D253C"/>
    <w:multiLevelType w:val="multilevel"/>
    <w:tmpl w:val="104481A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DDC661B"/>
    <w:multiLevelType w:val="multilevel"/>
    <w:tmpl w:val="5FB663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11C2E"/>
    <w:multiLevelType w:val="hybridMultilevel"/>
    <w:tmpl w:val="F7C6FA50"/>
    <w:lvl w:ilvl="0" w:tplc="7BF25D5C">
      <w:start w:val="1"/>
      <w:numFmt w:val="bullet"/>
      <w:pStyle w:val="Aufzhlung"/>
      <w:lvlText w:val="−"/>
      <w:lvlJc w:val="left"/>
      <w:pPr>
        <w:tabs>
          <w:tab w:val="num" w:pos="284"/>
        </w:tabs>
        <w:ind w:left="284" w:hanging="284"/>
      </w:pPr>
      <w:rPr>
        <w:rFonts w:ascii="Windsor Lt BT" w:hAnsi="Windsor Lt BT" w:hint="default"/>
      </w:rPr>
    </w:lvl>
    <w:lvl w:ilvl="1" w:tplc="08070019" w:tentative="1">
      <w:start w:val="1"/>
      <w:numFmt w:val="bullet"/>
      <w:lvlText w:val="o"/>
      <w:lvlJc w:val="left"/>
      <w:pPr>
        <w:tabs>
          <w:tab w:val="num" w:pos="1440"/>
        </w:tabs>
        <w:ind w:left="1440" w:hanging="360"/>
      </w:pPr>
      <w:rPr>
        <w:rFonts w:ascii="Courier New" w:hAnsi="Courier New" w:cs="Courier New" w:hint="default"/>
      </w:rPr>
    </w:lvl>
    <w:lvl w:ilvl="2" w:tplc="0807001B" w:tentative="1">
      <w:start w:val="1"/>
      <w:numFmt w:val="bullet"/>
      <w:lvlText w:val=""/>
      <w:lvlJc w:val="left"/>
      <w:pPr>
        <w:tabs>
          <w:tab w:val="num" w:pos="2160"/>
        </w:tabs>
        <w:ind w:left="2160" w:hanging="360"/>
      </w:pPr>
      <w:rPr>
        <w:rFonts w:ascii="Wingdings" w:hAnsi="Wingdings" w:hint="default"/>
      </w:rPr>
    </w:lvl>
    <w:lvl w:ilvl="3" w:tplc="0807000F" w:tentative="1">
      <w:start w:val="1"/>
      <w:numFmt w:val="bullet"/>
      <w:lvlText w:val=""/>
      <w:lvlJc w:val="left"/>
      <w:pPr>
        <w:tabs>
          <w:tab w:val="num" w:pos="2880"/>
        </w:tabs>
        <w:ind w:left="2880" w:hanging="360"/>
      </w:pPr>
      <w:rPr>
        <w:rFonts w:ascii="Symbol" w:hAnsi="Symbol" w:hint="default"/>
      </w:rPr>
    </w:lvl>
    <w:lvl w:ilvl="4" w:tplc="08070019" w:tentative="1">
      <w:start w:val="1"/>
      <w:numFmt w:val="bullet"/>
      <w:lvlText w:val="o"/>
      <w:lvlJc w:val="left"/>
      <w:pPr>
        <w:tabs>
          <w:tab w:val="num" w:pos="3600"/>
        </w:tabs>
        <w:ind w:left="3600" w:hanging="360"/>
      </w:pPr>
      <w:rPr>
        <w:rFonts w:ascii="Courier New" w:hAnsi="Courier New" w:cs="Courier New" w:hint="default"/>
      </w:rPr>
    </w:lvl>
    <w:lvl w:ilvl="5" w:tplc="0807001B" w:tentative="1">
      <w:start w:val="1"/>
      <w:numFmt w:val="bullet"/>
      <w:lvlText w:val=""/>
      <w:lvlJc w:val="left"/>
      <w:pPr>
        <w:tabs>
          <w:tab w:val="num" w:pos="4320"/>
        </w:tabs>
        <w:ind w:left="4320" w:hanging="360"/>
      </w:pPr>
      <w:rPr>
        <w:rFonts w:ascii="Wingdings" w:hAnsi="Wingdings" w:hint="default"/>
      </w:rPr>
    </w:lvl>
    <w:lvl w:ilvl="6" w:tplc="0807000F" w:tentative="1">
      <w:start w:val="1"/>
      <w:numFmt w:val="bullet"/>
      <w:lvlText w:val=""/>
      <w:lvlJc w:val="left"/>
      <w:pPr>
        <w:tabs>
          <w:tab w:val="num" w:pos="5040"/>
        </w:tabs>
        <w:ind w:left="5040" w:hanging="360"/>
      </w:pPr>
      <w:rPr>
        <w:rFonts w:ascii="Symbol" w:hAnsi="Symbol" w:hint="default"/>
      </w:rPr>
    </w:lvl>
    <w:lvl w:ilvl="7" w:tplc="08070019" w:tentative="1">
      <w:start w:val="1"/>
      <w:numFmt w:val="bullet"/>
      <w:lvlText w:val="o"/>
      <w:lvlJc w:val="left"/>
      <w:pPr>
        <w:tabs>
          <w:tab w:val="num" w:pos="5760"/>
        </w:tabs>
        <w:ind w:left="5760" w:hanging="360"/>
      </w:pPr>
      <w:rPr>
        <w:rFonts w:ascii="Courier New" w:hAnsi="Courier New" w:cs="Courier New" w:hint="default"/>
      </w:rPr>
    </w:lvl>
    <w:lvl w:ilvl="8" w:tplc="0807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1A0E64"/>
    <w:multiLevelType w:val="hybridMultilevel"/>
    <w:tmpl w:val="A6709B12"/>
    <w:lvl w:ilvl="0" w:tplc="0A98B1B2">
      <w:start w:val="1"/>
      <w:numFmt w:val="decimal"/>
      <w:pStyle w:val="Nummerierung"/>
      <w:lvlText w:val="%1."/>
      <w:lvlJc w:val="left"/>
      <w:pPr>
        <w:tabs>
          <w:tab w:val="num" w:pos="720"/>
        </w:tabs>
        <w:ind w:left="720" w:hanging="363"/>
      </w:pPr>
      <w:rPr>
        <w:rFonts w:hint="default"/>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2"/>
  </w:num>
  <w:num w:numId="39">
    <w:abstractNumId w:val="0"/>
    <w:lvlOverride w:ilvl="0">
      <w:startOverride w:val="1"/>
    </w:lvlOverride>
  </w:num>
  <w:num w:numId="40">
    <w:abstractNumId w:val="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77"/>
    <w:rsid w:val="000127B4"/>
    <w:rsid w:val="00014124"/>
    <w:rsid w:val="00055D67"/>
    <w:rsid w:val="0006381C"/>
    <w:rsid w:val="000749F6"/>
    <w:rsid w:val="00080BAB"/>
    <w:rsid w:val="000A4EB7"/>
    <w:rsid w:val="000B749C"/>
    <w:rsid w:val="000C2ABA"/>
    <w:rsid w:val="000D7DDB"/>
    <w:rsid w:val="000E4538"/>
    <w:rsid w:val="000F1E7A"/>
    <w:rsid w:val="00105B9C"/>
    <w:rsid w:val="001078E8"/>
    <w:rsid w:val="0011124D"/>
    <w:rsid w:val="00112DCB"/>
    <w:rsid w:val="00131FB8"/>
    <w:rsid w:val="00152022"/>
    <w:rsid w:val="001879FF"/>
    <w:rsid w:val="00192524"/>
    <w:rsid w:val="00192683"/>
    <w:rsid w:val="00193927"/>
    <w:rsid w:val="00194ABC"/>
    <w:rsid w:val="001C687D"/>
    <w:rsid w:val="001E7085"/>
    <w:rsid w:val="001E7276"/>
    <w:rsid w:val="001F33D2"/>
    <w:rsid w:val="00203093"/>
    <w:rsid w:val="00214252"/>
    <w:rsid w:val="00224F40"/>
    <w:rsid w:val="00230598"/>
    <w:rsid w:val="00240E72"/>
    <w:rsid w:val="00246A01"/>
    <w:rsid w:val="002646F5"/>
    <w:rsid w:val="00273366"/>
    <w:rsid w:val="00285D45"/>
    <w:rsid w:val="002D6B38"/>
    <w:rsid w:val="002F2FE2"/>
    <w:rsid w:val="00306163"/>
    <w:rsid w:val="003173AB"/>
    <w:rsid w:val="00320610"/>
    <w:rsid w:val="00333D0D"/>
    <w:rsid w:val="00340938"/>
    <w:rsid w:val="003434EC"/>
    <w:rsid w:val="0034746F"/>
    <w:rsid w:val="00350186"/>
    <w:rsid w:val="00351ADE"/>
    <w:rsid w:val="003556F6"/>
    <w:rsid w:val="003907C5"/>
    <w:rsid w:val="003D0A27"/>
    <w:rsid w:val="003D49E9"/>
    <w:rsid w:val="003E73EC"/>
    <w:rsid w:val="003F46B3"/>
    <w:rsid w:val="004128C3"/>
    <w:rsid w:val="00412C9A"/>
    <w:rsid w:val="004257CF"/>
    <w:rsid w:val="00425BEB"/>
    <w:rsid w:val="00456FA3"/>
    <w:rsid w:val="00473927"/>
    <w:rsid w:val="00493D39"/>
    <w:rsid w:val="00494853"/>
    <w:rsid w:val="004C18D0"/>
    <w:rsid w:val="004C319C"/>
    <w:rsid w:val="004D53E5"/>
    <w:rsid w:val="00507AA6"/>
    <w:rsid w:val="00512682"/>
    <w:rsid w:val="00522121"/>
    <w:rsid w:val="005227CB"/>
    <w:rsid w:val="005435FF"/>
    <w:rsid w:val="00544364"/>
    <w:rsid w:val="0054713D"/>
    <w:rsid w:val="00554BA6"/>
    <w:rsid w:val="005640AA"/>
    <w:rsid w:val="00580063"/>
    <w:rsid w:val="005845C3"/>
    <w:rsid w:val="0058683C"/>
    <w:rsid w:val="005A1F30"/>
    <w:rsid w:val="005C136D"/>
    <w:rsid w:val="005C39EE"/>
    <w:rsid w:val="005C77B5"/>
    <w:rsid w:val="005F5EE7"/>
    <w:rsid w:val="00604AC5"/>
    <w:rsid w:val="0062626E"/>
    <w:rsid w:val="00641B38"/>
    <w:rsid w:val="00655A30"/>
    <w:rsid w:val="006814A3"/>
    <w:rsid w:val="00683122"/>
    <w:rsid w:val="006A06B4"/>
    <w:rsid w:val="006B00BF"/>
    <w:rsid w:val="006B0732"/>
    <w:rsid w:val="006B7D82"/>
    <w:rsid w:val="006C1811"/>
    <w:rsid w:val="006C7627"/>
    <w:rsid w:val="006D5B49"/>
    <w:rsid w:val="006E2437"/>
    <w:rsid w:val="006F6C33"/>
    <w:rsid w:val="00724B7E"/>
    <w:rsid w:val="00736FDA"/>
    <w:rsid w:val="00737638"/>
    <w:rsid w:val="007406D9"/>
    <w:rsid w:val="00744365"/>
    <w:rsid w:val="00750FE6"/>
    <w:rsid w:val="00755BC1"/>
    <w:rsid w:val="007962BD"/>
    <w:rsid w:val="007C2F97"/>
    <w:rsid w:val="007D188F"/>
    <w:rsid w:val="007D7EF7"/>
    <w:rsid w:val="007E6D2C"/>
    <w:rsid w:val="007F7278"/>
    <w:rsid w:val="00804D2A"/>
    <w:rsid w:val="008069C9"/>
    <w:rsid w:val="0081073D"/>
    <w:rsid w:val="00836ACD"/>
    <w:rsid w:val="008427F4"/>
    <w:rsid w:val="0085598C"/>
    <w:rsid w:val="00862B3C"/>
    <w:rsid w:val="00864E7B"/>
    <w:rsid w:val="00881CBD"/>
    <w:rsid w:val="008822B3"/>
    <w:rsid w:val="0088505F"/>
    <w:rsid w:val="008A6F53"/>
    <w:rsid w:val="008C20D9"/>
    <w:rsid w:val="008D147F"/>
    <w:rsid w:val="008D2316"/>
    <w:rsid w:val="008F0670"/>
    <w:rsid w:val="00906E01"/>
    <w:rsid w:val="00915C77"/>
    <w:rsid w:val="009174D9"/>
    <w:rsid w:val="00931D46"/>
    <w:rsid w:val="009463FC"/>
    <w:rsid w:val="00966803"/>
    <w:rsid w:val="009A5FB5"/>
    <w:rsid w:val="009E5A1B"/>
    <w:rsid w:val="00A00132"/>
    <w:rsid w:val="00A03088"/>
    <w:rsid w:val="00A20FE6"/>
    <w:rsid w:val="00A2577F"/>
    <w:rsid w:val="00A37BCC"/>
    <w:rsid w:val="00A47235"/>
    <w:rsid w:val="00A52122"/>
    <w:rsid w:val="00A52924"/>
    <w:rsid w:val="00A53B4A"/>
    <w:rsid w:val="00A73311"/>
    <w:rsid w:val="00A73D3E"/>
    <w:rsid w:val="00A877F6"/>
    <w:rsid w:val="00AB4417"/>
    <w:rsid w:val="00AB6E43"/>
    <w:rsid w:val="00AC54E4"/>
    <w:rsid w:val="00AC6C97"/>
    <w:rsid w:val="00AC7283"/>
    <w:rsid w:val="00AD5960"/>
    <w:rsid w:val="00AF1272"/>
    <w:rsid w:val="00AF1AEE"/>
    <w:rsid w:val="00B42955"/>
    <w:rsid w:val="00B45279"/>
    <w:rsid w:val="00B56094"/>
    <w:rsid w:val="00B73D19"/>
    <w:rsid w:val="00BA1B13"/>
    <w:rsid w:val="00BA5AD9"/>
    <w:rsid w:val="00BA6237"/>
    <w:rsid w:val="00BA6DA1"/>
    <w:rsid w:val="00BC42E5"/>
    <w:rsid w:val="00BC5E34"/>
    <w:rsid w:val="00C04A87"/>
    <w:rsid w:val="00C126C0"/>
    <w:rsid w:val="00C24F44"/>
    <w:rsid w:val="00C37695"/>
    <w:rsid w:val="00C53680"/>
    <w:rsid w:val="00C53ABE"/>
    <w:rsid w:val="00C6316F"/>
    <w:rsid w:val="00C8260A"/>
    <w:rsid w:val="00C932ED"/>
    <w:rsid w:val="00CC388A"/>
    <w:rsid w:val="00CD4FBE"/>
    <w:rsid w:val="00D03883"/>
    <w:rsid w:val="00D127C2"/>
    <w:rsid w:val="00D27472"/>
    <w:rsid w:val="00D278D8"/>
    <w:rsid w:val="00D30377"/>
    <w:rsid w:val="00D32D66"/>
    <w:rsid w:val="00D46B6D"/>
    <w:rsid w:val="00D84B81"/>
    <w:rsid w:val="00DB6349"/>
    <w:rsid w:val="00DB71DF"/>
    <w:rsid w:val="00DD02AC"/>
    <w:rsid w:val="00DD3DA4"/>
    <w:rsid w:val="00DF349D"/>
    <w:rsid w:val="00E10D14"/>
    <w:rsid w:val="00E14380"/>
    <w:rsid w:val="00E162F9"/>
    <w:rsid w:val="00E1631A"/>
    <w:rsid w:val="00E21232"/>
    <w:rsid w:val="00E231BF"/>
    <w:rsid w:val="00E377EB"/>
    <w:rsid w:val="00E446B5"/>
    <w:rsid w:val="00E55A84"/>
    <w:rsid w:val="00E6052A"/>
    <w:rsid w:val="00E91F49"/>
    <w:rsid w:val="00E96EAA"/>
    <w:rsid w:val="00EA60CB"/>
    <w:rsid w:val="00EB03E2"/>
    <w:rsid w:val="00EB1946"/>
    <w:rsid w:val="00EB2A81"/>
    <w:rsid w:val="00EC1D17"/>
    <w:rsid w:val="00EE6673"/>
    <w:rsid w:val="00EE7AFE"/>
    <w:rsid w:val="00EF0BED"/>
    <w:rsid w:val="00EF4DBA"/>
    <w:rsid w:val="00EF6FB5"/>
    <w:rsid w:val="00F10804"/>
    <w:rsid w:val="00F13AAE"/>
    <w:rsid w:val="00F13AEE"/>
    <w:rsid w:val="00F256E8"/>
    <w:rsid w:val="00F25738"/>
    <w:rsid w:val="00F33F26"/>
    <w:rsid w:val="00F36E77"/>
    <w:rsid w:val="00F541E1"/>
    <w:rsid w:val="00F72C37"/>
    <w:rsid w:val="00F8579F"/>
    <w:rsid w:val="00FA2AA5"/>
    <w:rsid w:val="00FD2D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79444-B00C-44D3-BDAE-16609B5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3927"/>
    <w:pPr>
      <w:spacing w:after="120"/>
      <w:jc w:val="both"/>
    </w:pPr>
    <w:rPr>
      <w:rFonts w:ascii="Arial" w:hAnsi="Arial"/>
      <w:sz w:val="21"/>
      <w:lang w:eastAsia="de-DE"/>
    </w:rPr>
  </w:style>
  <w:style w:type="paragraph" w:styleId="berschrift1">
    <w:name w:val="heading 1"/>
    <w:basedOn w:val="Standard"/>
    <w:next w:val="Paragraph"/>
    <w:link w:val="berschrift1Zchn"/>
    <w:qFormat/>
    <w:rsid w:val="004C18D0"/>
    <w:pPr>
      <w:keepNext/>
      <w:keepLines/>
      <w:tabs>
        <w:tab w:val="left" w:pos="851"/>
      </w:tabs>
      <w:suppressAutoHyphens/>
      <w:spacing w:before="360" w:after="0"/>
      <w:ind w:left="851" w:hanging="851"/>
      <w:jc w:val="left"/>
      <w:outlineLvl w:val="0"/>
    </w:pPr>
    <w:rPr>
      <w:b/>
      <w:sz w:val="24"/>
    </w:rPr>
  </w:style>
  <w:style w:type="paragraph" w:styleId="berschrift2">
    <w:name w:val="heading 2"/>
    <w:basedOn w:val="berschrift1"/>
    <w:next w:val="Paragraph"/>
    <w:autoRedefine/>
    <w:qFormat/>
    <w:rsid w:val="002F2FE2"/>
    <w:pPr>
      <w:spacing w:before="240" w:after="120"/>
      <w:outlineLvl w:val="1"/>
    </w:pPr>
    <w:rPr>
      <w:color w:val="FF0000"/>
      <w:sz w:val="22"/>
    </w:rPr>
  </w:style>
  <w:style w:type="paragraph" w:styleId="berschrift3">
    <w:name w:val="heading 3"/>
    <w:basedOn w:val="berschrift2"/>
    <w:next w:val="Paragraph"/>
    <w:qFormat/>
    <w:rsid w:val="005227CB"/>
    <w:pPr>
      <w:spacing w:before="200"/>
      <w:outlineLvl w:val="2"/>
    </w:pPr>
    <w:rPr>
      <w:b w:val="0"/>
      <w:i/>
    </w:rPr>
  </w:style>
  <w:style w:type="paragraph" w:styleId="berschrift4">
    <w:name w:val="heading 4"/>
    <w:basedOn w:val="berschrift3"/>
    <w:next w:val="Paragraph"/>
    <w:qFormat/>
    <w:rsid w:val="005227CB"/>
    <w:pPr>
      <w:spacing w:before="160"/>
      <w:outlineLvl w:val="3"/>
    </w:pPr>
    <w:rPr>
      <w:i w:val="0"/>
    </w:rPr>
  </w:style>
  <w:style w:type="paragraph" w:styleId="berschrift5">
    <w:name w:val="heading 5"/>
    <w:basedOn w:val="berschrift4"/>
    <w:next w:val="Paragraph"/>
    <w:qFormat/>
    <w:pPr>
      <w:outlineLvl w:val="4"/>
    </w:pPr>
    <w:rPr>
      <w:i/>
      <w:sz w:val="20"/>
    </w:rPr>
  </w:style>
  <w:style w:type="paragraph" w:styleId="berschrift6">
    <w:name w:val="heading 6"/>
    <w:basedOn w:val="berschrift5"/>
    <w:next w:val="Paragraph"/>
    <w:qFormat/>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next w:val="Standard"/>
    <w:link w:val="ParagraphZchn"/>
    <w:pPr>
      <w:keepNext/>
      <w:keepLines/>
      <w:tabs>
        <w:tab w:val="left" w:pos="227"/>
      </w:tabs>
      <w:spacing w:before="240" w:after="60"/>
    </w:pPr>
    <w:rPr>
      <w:b/>
    </w:rPr>
  </w:style>
  <w:style w:type="character" w:styleId="Kommentarzeichen">
    <w:name w:val="annotation reference"/>
    <w:semiHidden/>
    <w:rPr>
      <w:rFonts w:ascii="Times New Roman" w:hAnsi="Times New Roman"/>
      <w:sz w:val="16"/>
    </w:rPr>
  </w:style>
  <w:style w:type="paragraph" w:styleId="Kommentartext">
    <w:name w:val="annotation text"/>
    <w:basedOn w:val="Standard"/>
    <w:semiHidden/>
    <w:rPr>
      <w:sz w:val="20"/>
    </w:rPr>
  </w:style>
  <w:style w:type="character" w:styleId="Endnotenzeichen">
    <w:name w:val="endnote reference"/>
    <w:semiHidden/>
    <w:rPr>
      <w:rFonts w:ascii="Times New Roman" w:hAnsi="Times New Roman"/>
      <w:vertAlign w:val="superscript"/>
    </w:rPr>
  </w:style>
  <w:style w:type="character" w:styleId="Funotenzeichen">
    <w:name w:val="footnote reference"/>
    <w:semiHidden/>
    <w:rPr>
      <w:rFonts w:ascii="Times New Roman" w:hAnsi="Times New Roman"/>
      <w:position w:val="6"/>
      <w:sz w:val="12"/>
    </w:rPr>
  </w:style>
  <w:style w:type="paragraph" w:styleId="Funotentext">
    <w:name w:val="footnote text"/>
    <w:basedOn w:val="Standard"/>
    <w:semiHidden/>
    <w:pPr>
      <w:keepLines/>
      <w:tabs>
        <w:tab w:val="right" w:pos="159"/>
        <w:tab w:val="left" w:pos="227"/>
      </w:tabs>
      <w:spacing w:after="0" w:line="168" w:lineRule="atLeast"/>
      <w:ind w:left="227" w:hanging="227"/>
    </w:pPr>
    <w:rPr>
      <w:sz w:val="16"/>
    </w:rPr>
  </w:style>
  <w:style w:type="paragraph" w:customStyle="1" w:styleId="Erlasstitel">
    <w:name w:val="Erlasstitel"/>
    <w:basedOn w:val="Standard"/>
    <w:next w:val="Datum"/>
    <w:rsid w:val="00E1631A"/>
    <w:pPr>
      <w:keepNext/>
      <w:keepLines/>
      <w:tabs>
        <w:tab w:val="right" w:pos="9639"/>
      </w:tabs>
      <w:suppressAutoHyphens/>
      <w:spacing w:before="240" w:after="240"/>
      <w:jc w:val="left"/>
    </w:pPr>
    <w:rPr>
      <w:b/>
      <w:sz w:val="24"/>
    </w:rPr>
  </w:style>
  <w:style w:type="paragraph" w:styleId="Datum">
    <w:name w:val="Date"/>
    <w:basedOn w:val="Standard"/>
    <w:next w:val="Autor"/>
    <w:pPr>
      <w:keepNext/>
      <w:keepLines/>
      <w:pBdr>
        <w:bottom w:val="single" w:sz="6" w:space="10" w:color="auto"/>
      </w:pBdr>
      <w:spacing w:after="240"/>
      <w:ind w:left="28" w:right="28"/>
      <w:jc w:val="left"/>
    </w:pPr>
    <w:rPr>
      <w:position w:val="2"/>
    </w:rPr>
  </w:style>
  <w:style w:type="paragraph" w:customStyle="1" w:styleId="Autor">
    <w:name w:val="Autor"/>
    <w:basedOn w:val="Standard"/>
    <w:next w:val="Grundlage"/>
    <w:pPr>
      <w:keepNext/>
      <w:keepLines/>
      <w:spacing w:before="240" w:after="0"/>
    </w:pPr>
    <w:rPr>
      <w:i/>
    </w:rPr>
  </w:style>
  <w:style w:type="paragraph" w:customStyle="1" w:styleId="Grundlage">
    <w:name w:val="Grundlage"/>
    <w:basedOn w:val="Standard"/>
    <w:next w:val="Aktion"/>
    <w:pPr>
      <w:spacing w:before="240"/>
    </w:pPr>
  </w:style>
  <w:style w:type="paragraph" w:customStyle="1" w:styleId="Aktion">
    <w:name w:val="Aktion"/>
    <w:basedOn w:val="Autor"/>
    <w:next w:val="Standard"/>
    <w:pPr>
      <w:spacing w:after="120"/>
    </w:pPr>
  </w:style>
  <w:style w:type="paragraph" w:customStyle="1" w:styleId="Aufzhlung">
    <w:name w:val="Aufzählung"/>
    <w:basedOn w:val="Standard"/>
    <w:rsid w:val="00152022"/>
    <w:pPr>
      <w:numPr>
        <w:numId w:val="3"/>
      </w:numPr>
      <w:tabs>
        <w:tab w:val="clear" w:pos="284"/>
        <w:tab w:val="left" w:pos="357"/>
      </w:tabs>
      <w:ind w:left="357" w:hanging="357"/>
    </w:pPr>
  </w:style>
  <w:style w:type="character" w:customStyle="1" w:styleId="ParagraphZchn">
    <w:name w:val="Paragraph Zchn"/>
    <w:link w:val="Paragraph"/>
    <w:rsid w:val="00744365"/>
    <w:rPr>
      <w:rFonts w:ascii="Arial" w:hAnsi="Arial"/>
      <w:b/>
      <w:sz w:val="21"/>
      <w:lang w:val="de-CH" w:eastAsia="de-DE" w:bidi="ar-SA"/>
    </w:rPr>
  </w:style>
  <w:style w:type="paragraph" w:customStyle="1" w:styleId="Nummerierung">
    <w:name w:val="Nummerierung"/>
    <w:basedOn w:val="Standard"/>
    <w:rsid w:val="00A2577F"/>
    <w:pPr>
      <w:numPr>
        <w:numId w:val="1"/>
      </w:numPr>
      <w:tabs>
        <w:tab w:val="clear" w:pos="720"/>
        <w:tab w:val="num" w:pos="426"/>
      </w:tabs>
      <w:ind w:left="426" w:hanging="426"/>
    </w:pPr>
  </w:style>
  <w:style w:type="paragraph" w:customStyle="1" w:styleId="NummerierungAlph">
    <w:name w:val="Nummerierung Alph."/>
    <w:basedOn w:val="Standard"/>
    <w:autoRedefine/>
    <w:rsid w:val="008427F4"/>
    <w:pPr>
      <w:numPr>
        <w:numId w:val="29"/>
      </w:numPr>
      <w:spacing w:after="40"/>
      <w:ind w:left="357" w:hanging="357"/>
    </w:pPr>
  </w:style>
  <w:style w:type="paragraph" w:customStyle="1" w:styleId="Vorlagedes">
    <w:name w:val="Vorlage des"/>
    <w:basedOn w:val="Standard"/>
    <w:rsid w:val="00E1631A"/>
    <w:pPr>
      <w:spacing w:after="300"/>
    </w:pPr>
    <w:rPr>
      <w:sz w:val="22"/>
      <w:szCs w:val="22"/>
      <w:u w:val="single"/>
    </w:rPr>
  </w:style>
  <w:style w:type="character" w:customStyle="1" w:styleId="berschrift1Zchn">
    <w:name w:val="Überschrift 1 Zchn"/>
    <w:link w:val="berschrift1"/>
    <w:rsid w:val="00744365"/>
    <w:rPr>
      <w:rFonts w:ascii="Arial" w:hAnsi="Arial"/>
      <w:b/>
      <w:sz w:val="24"/>
      <w:lang w:val="de-CH" w:eastAsia="de-DE" w:bidi="ar-SA"/>
    </w:rPr>
  </w:style>
  <w:style w:type="paragraph" w:customStyle="1" w:styleId="Sehrgeehrter">
    <w:name w:val="Sehr geehrte/r"/>
    <w:basedOn w:val="Standard"/>
    <w:rsid w:val="0088505F"/>
    <w:pPr>
      <w:jc w:val="left"/>
    </w:pPr>
    <w:rPr>
      <w:i/>
    </w:rPr>
  </w:style>
  <w:style w:type="paragraph" w:customStyle="1" w:styleId="Marginalie">
    <w:name w:val="Marginalie"/>
    <w:basedOn w:val="Standard"/>
    <w:rsid w:val="00BC5E34"/>
    <w:pPr>
      <w:keepNext/>
      <w:keepLines/>
      <w:framePr w:w="1021" w:hSpace="113" w:wrap="auto" w:vAnchor="text" w:hAnchor="page" w:xAlign="outside" w:y="46"/>
      <w:spacing w:before="20" w:after="40"/>
      <w:jc w:val="left"/>
    </w:pPr>
    <w:rPr>
      <w:sz w:val="16"/>
    </w:rPr>
  </w:style>
  <w:style w:type="paragraph" w:customStyle="1" w:styleId="Paragraph1ptgrsser">
    <w:name w:val="Paragraph + 1pt grösser"/>
    <w:basedOn w:val="Standard"/>
    <w:rsid w:val="00285D45"/>
    <w:pPr>
      <w:spacing w:before="240" w:after="60"/>
    </w:pPr>
    <w:rPr>
      <w:b/>
      <w:sz w:val="23"/>
    </w:rPr>
  </w:style>
  <w:style w:type="paragraph" w:customStyle="1" w:styleId="Absatznummer">
    <w:name w:val="Absatznummer"/>
    <w:basedOn w:val="Standard"/>
    <w:link w:val="AbsatznummerZchnZchn"/>
    <w:rsid w:val="00320610"/>
    <w:rPr>
      <w:vertAlign w:val="superscript"/>
    </w:rPr>
  </w:style>
  <w:style w:type="character" w:customStyle="1" w:styleId="AbsatznummerZchnZchn">
    <w:name w:val="Absatznummer Zchn Zchn"/>
    <w:link w:val="Absatznummer"/>
    <w:rsid w:val="00320610"/>
    <w:rPr>
      <w:rFonts w:ascii="Arial" w:hAnsi="Arial"/>
      <w:sz w:val="21"/>
      <w:vertAlign w:val="superscript"/>
      <w:lang w:val="de-CH" w:eastAsia="de-DE" w:bidi="ar-SA"/>
    </w:rPr>
  </w:style>
  <w:style w:type="paragraph" w:styleId="Kopfzeile">
    <w:name w:val="header"/>
    <w:basedOn w:val="Standard"/>
    <w:rsid w:val="00AC6C97"/>
    <w:pPr>
      <w:tabs>
        <w:tab w:val="center" w:pos="4536"/>
        <w:tab w:val="right" w:pos="9072"/>
      </w:tabs>
    </w:pPr>
  </w:style>
  <w:style w:type="paragraph" w:styleId="Fuzeile">
    <w:name w:val="footer"/>
    <w:basedOn w:val="Standard"/>
    <w:rsid w:val="00AC6C97"/>
    <w:pPr>
      <w:tabs>
        <w:tab w:val="center" w:pos="4536"/>
        <w:tab w:val="right" w:pos="9072"/>
      </w:tabs>
    </w:pPr>
  </w:style>
  <w:style w:type="paragraph" w:styleId="Listenabsatz">
    <w:name w:val="List Paragraph"/>
    <w:basedOn w:val="Standard"/>
    <w:uiPriority w:val="34"/>
    <w:qFormat/>
    <w:rsid w:val="0024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64B99F54.dotm</Template>
  <TotalTime>0</TotalTime>
  <Pages>5</Pages>
  <Words>1141</Words>
  <Characters>7783</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Archilex SH DOT</vt:lpstr>
    </vt:vector>
  </TitlesOfParts>
  <Company>KSD</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Archilex SH DOT</dc:title>
  <dc:subject/>
  <dc:creator>Corinne Gysi</dc:creator>
  <cp:keywords/>
  <dc:description/>
  <cp:lastModifiedBy>Indermühle Claudia</cp:lastModifiedBy>
  <cp:revision>2</cp:revision>
  <cp:lastPrinted>2009-04-17T11:32:00Z</cp:lastPrinted>
  <dcterms:created xsi:type="dcterms:W3CDTF">2021-01-16T07:11:00Z</dcterms:created>
  <dcterms:modified xsi:type="dcterms:W3CDTF">2021-01-16T07:11:00Z</dcterms:modified>
</cp:coreProperties>
</file>